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F83E" w14:textId="28EDE985" w:rsidR="00163CFF" w:rsidRDefault="00163CFF" w:rsidP="00E75753">
      <w:pPr>
        <w:pStyle w:val="NoSpacing"/>
        <w:rPr>
          <w:sz w:val="20"/>
          <w:szCs w:val="20"/>
        </w:rPr>
      </w:pPr>
      <w:r>
        <w:rPr>
          <w:sz w:val="20"/>
          <w:szCs w:val="20"/>
        </w:rPr>
        <w:t>The stock market decreased in November as the S&amp;P 500 fell by -0.7%.  Despite the drop, the market is still higher by +23.2% for the year.  Most of the month was uneventful as the S&amp;P 500 stayed close to all-time highs around the 4,700-price level (the all-time closing high of 4,705 was achieved on November 18</w:t>
      </w:r>
      <w:r w:rsidRPr="00163CFF">
        <w:rPr>
          <w:sz w:val="20"/>
          <w:szCs w:val="20"/>
          <w:vertAlign w:val="superscript"/>
        </w:rPr>
        <w:t>th</w:t>
      </w:r>
      <w:r>
        <w:rPr>
          <w:sz w:val="20"/>
          <w:szCs w:val="20"/>
        </w:rPr>
        <w:t xml:space="preserve">).  However, </w:t>
      </w:r>
      <w:r w:rsidR="007242C3">
        <w:rPr>
          <w:sz w:val="20"/>
          <w:szCs w:val="20"/>
        </w:rPr>
        <w:t xml:space="preserve">the market suffered a post-Thanksgiving tryptophan hangover with a drop of -2.8% in the last three trading days of the month.  </w:t>
      </w:r>
    </w:p>
    <w:p w14:paraId="16D23B75" w14:textId="77777777" w:rsidR="007242C3" w:rsidRPr="007242C3" w:rsidRDefault="007242C3" w:rsidP="00E75753">
      <w:pPr>
        <w:pStyle w:val="NoSpacing"/>
        <w:rPr>
          <w:sz w:val="8"/>
          <w:szCs w:val="8"/>
        </w:rPr>
      </w:pPr>
    </w:p>
    <w:p w14:paraId="30CFA950" w14:textId="72D5D13C" w:rsidR="00E75753" w:rsidRPr="00E75753" w:rsidRDefault="00E75753" w:rsidP="00E75753">
      <w:pPr>
        <w:pStyle w:val="NoSpacing"/>
        <w:numPr>
          <w:ilvl w:val="0"/>
          <w:numId w:val="2"/>
        </w:numPr>
        <w:rPr>
          <w:rFonts w:cstheme="minorHAnsi"/>
          <w:b/>
          <w:bCs/>
          <w:sz w:val="20"/>
          <w:szCs w:val="20"/>
        </w:rPr>
      </w:pPr>
      <w:r w:rsidRPr="00E75753">
        <w:rPr>
          <w:rFonts w:cstheme="minorHAnsi"/>
          <w:b/>
          <w:bCs/>
          <w:sz w:val="20"/>
          <w:szCs w:val="20"/>
        </w:rPr>
        <w:t>Style: </w:t>
      </w:r>
      <w:r w:rsidRPr="00E75753">
        <w:rPr>
          <w:rFonts w:cstheme="minorHAnsi"/>
          <w:sz w:val="20"/>
          <w:szCs w:val="20"/>
        </w:rPr>
        <w:t>Growth (Russell 1000 Growth: +</w:t>
      </w:r>
      <w:r w:rsidR="000C7972">
        <w:rPr>
          <w:rFonts w:cstheme="minorHAnsi"/>
          <w:sz w:val="20"/>
          <w:szCs w:val="20"/>
        </w:rPr>
        <w:t>0.6</w:t>
      </w:r>
      <w:r w:rsidRPr="00E75753">
        <w:rPr>
          <w:rFonts w:cstheme="minorHAnsi"/>
          <w:sz w:val="20"/>
          <w:szCs w:val="20"/>
        </w:rPr>
        <w:t xml:space="preserve">%) exceeded Value (Russell 1000 Value: </w:t>
      </w:r>
      <w:r w:rsidR="007E274A">
        <w:rPr>
          <w:rFonts w:cstheme="minorHAnsi"/>
          <w:sz w:val="20"/>
          <w:szCs w:val="20"/>
        </w:rPr>
        <w:t>-3.5</w:t>
      </w:r>
      <w:r w:rsidRPr="00E75753">
        <w:rPr>
          <w:rFonts w:cstheme="minorHAnsi"/>
          <w:sz w:val="20"/>
          <w:szCs w:val="20"/>
        </w:rPr>
        <w:t>%). </w:t>
      </w:r>
    </w:p>
    <w:p w14:paraId="299F35FC" w14:textId="643E080E" w:rsidR="00E75753" w:rsidRPr="00E75753" w:rsidRDefault="00E75753" w:rsidP="00E75753">
      <w:pPr>
        <w:pStyle w:val="NoSpacing"/>
        <w:numPr>
          <w:ilvl w:val="0"/>
          <w:numId w:val="2"/>
        </w:numPr>
        <w:rPr>
          <w:rFonts w:cstheme="minorHAnsi"/>
          <w:b/>
          <w:bCs/>
          <w:sz w:val="20"/>
          <w:szCs w:val="20"/>
        </w:rPr>
      </w:pPr>
      <w:r w:rsidRPr="00E75753">
        <w:rPr>
          <w:rFonts w:cstheme="minorHAnsi"/>
          <w:b/>
          <w:bCs/>
          <w:sz w:val="20"/>
          <w:szCs w:val="20"/>
        </w:rPr>
        <w:t>Sector: </w:t>
      </w:r>
      <w:r w:rsidR="007E274A">
        <w:rPr>
          <w:rFonts w:cstheme="minorHAnsi"/>
          <w:sz w:val="20"/>
          <w:szCs w:val="20"/>
        </w:rPr>
        <w:t xml:space="preserve">Only two </w:t>
      </w:r>
      <w:r w:rsidRPr="00E75753">
        <w:rPr>
          <w:rFonts w:cstheme="minorHAnsi"/>
          <w:sz w:val="20"/>
          <w:szCs w:val="20"/>
        </w:rPr>
        <w:t xml:space="preserve">were positive for the </w:t>
      </w:r>
      <w:r w:rsidR="007E274A">
        <w:rPr>
          <w:rFonts w:cstheme="minorHAnsi"/>
          <w:sz w:val="20"/>
          <w:szCs w:val="20"/>
        </w:rPr>
        <w:t>month</w:t>
      </w:r>
      <w:r w:rsidRPr="00E75753">
        <w:rPr>
          <w:rFonts w:cstheme="minorHAnsi"/>
          <w:sz w:val="20"/>
          <w:szCs w:val="20"/>
        </w:rPr>
        <w:t xml:space="preserve"> with </w:t>
      </w:r>
      <w:r w:rsidR="007E274A">
        <w:rPr>
          <w:rFonts w:cstheme="minorHAnsi"/>
          <w:sz w:val="20"/>
          <w:szCs w:val="20"/>
        </w:rPr>
        <w:t>Technology</w:t>
      </w:r>
      <w:r w:rsidRPr="00E75753">
        <w:rPr>
          <w:rFonts w:cstheme="minorHAnsi"/>
          <w:sz w:val="20"/>
          <w:szCs w:val="20"/>
        </w:rPr>
        <w:t xml:space="preserve"> (+</w:t>
      </w:r>
      <w:r w:rsidR="007E274A">
        <w:rPr>
          <w:rFonts w:cstheme="minorHAnsi"/>
          <w:sz w:val="20"/>
          <w:szCs w:val="20"/>
        </w:rPr>
        <w:t>4.4</w:t>
      </w:r>
      <w:r w:rsidRPr="00E75753">
        <w:rPr>
          <w:rFonts w:cstheme="minorHAnsi"/>
          <w:sz w:val="20"/>
          <w:szCs w:val="20"/>
        </w:rPr>
        <w:t xml:space="preserve">%) and </w:t>
      </w:r>
      <w:r w:rsidR="007E274A">
        <w:rPr>
          <w:rFonts w:cstheme="minorHAnsi"/>
          <w:sz w:val="20"/>
          <w:szCs w:val="20"/>
        </w:rPr>
        <w:t>Consumer Discretionary</w:t>
      </w:r>
      <w:r w:rsidRPr="00E75753">
        <w:rPr>
          <w:rFonts w:cstheme="minorHAnsi"/>
          <w:sz w:val="20"/>
          <w:szCs w:val="20"/>
        </w:rPr>
        <w:t xml:space="preserve"> (+</w:t>
      </w:r>
      <w:r w:rsidR="007E274A">
        <w:rPr>
          <w:rFonts w:cstheme="minorHAnsi"/>
          <w:sz w:val="20"/>
          <w:szCs w:val="20"/>
        </w:rPr>
        <w:t>2.0</w:t>
      </w:r>
      <w:r w:rsidRPr="00E75753">
        <w:rPr>
          <w:rFonts w:cstheme="minorHAnsi"/>
          <w:sz w:val="20"/>
          <w:szCs w:val="20"/>
        </w:rPr>
        <w:t>%) as the leaders, and Co</w:t>
      </w:r>
      <w:r w:rsidR="007E274A">
        <w:rPr>
          <w:rFonts w:cstheme="minorHAnsi"/>
          <w:sz w:val="20"/>
          <w:szCs w:val="20"/>
        </w:rPr>
        <w:t>mmunication Services</w:t>
      </w:r>
      <w:r w:rsidRPr="00E75753">
        <w:rPr>
          <w:rFonts w:cstheme="minorHAnsi"/>
          <w:sz w:val="20"/>
          <w:szCs w:val="20"/>
        </w:rPr>
        <w:t xml:space="preserve"> (</w:t>
      </w:r>
      <w:r w:rsidR="007E274A">
        <w:rPr>
          <w:rFonts w:cstheme="minorHAnsi"/>
          <w:sz w:val="20"/>
          <w:szCs w:val="20"/>
        </w:rPr>
        <w:t>-5.2</w:t>
      </w:r>
      <w:r w:rsidRPr="00E75753">
        <w:rPr>
          <w:rFonts w:cstheme="minorHAnsi"/>
          <w:sz w:val="20"/>
          <w:szCs w:val="20"/>
        </w:rPr>
        <w:t xml:space="preserve">%) and </w:t>
      </w:r>
      <w:r w:rsidR="007E274A">
        <w:rPr>
          <w:rFonts w:cstheme="minorHAnsi"/>
          <w:sz w:val="20"/>
          <w:szCs w:val="20"/>
        </w:rPr>
        <w:t>Financials</w:t>
      </w:r>
      <w:r w:rsidRPr="00E75753">
        <w:rPr>
          <w:rFonts w:cstheme="minorHAnsi"/>
          <w:sz w:val="20"/>
          <w:szCs w:val="20"/>
        </w:rPr>
        <w:t xml:space="preserve"> (</w:t>
      </w:r>
      <w:r w:rsidR="007E274A">
        <w:rPr>
          <w:rFonts w:cstheme="minorHAnsi"/>
          <w:sz w:val="20"/>
          <w:szCs w:val="20"/>
        </w:rPr>
        <w:t>-5.7</w:t>
      </w:r>
      <w:r w:rsidRPr="00E75753">
        <w:rPr>
          <w:rFonts w:cstheme="minorHAnsi"/>
          <w:sz w:val="20"/>
          <w:szCs w:val="20"/>
        </w:rPr>
        <w:t>%) as the laggards.</w:t>
      </w:r>
      <w:r w:rsidRPr="00E75753">
        <w:rPr>
          <w:rFonts w:cstheme="minorHAnsi"/>
          <w:b/>
          <w:bCs/>
          <w:sz w:val="20"/>
          <w:szCs w:val="20"/>
        </w:rPr>
        <w:t>   </w:t>
      </w:r>
    </w:p>
    <w:p w14:paraId="5BE6C8CE" w14:textId="6A491448" w:rsidR="00E75753" w:rsidRPr="00E75753" w:rsidRDefault="00E75753" w:rsidP="00E75753">
      <w:pPr>
        <w:pStyle w:val="NoSpacing"/>
        <w:numPr>
          <w:ilvl w:val="0"/>
          <w:numId w:val="2"/>
        </w:numPr>
        <w:rPr>
          <w:rFonts w:cstheme="minorHAnsi"/>
          <w:b/>
          <w:bCs/>
          <w:sz w:val="20"/>
          <w:szCs w:val="20"/>
        </w:rPr>
      </w:pPr>
      <w:r w:rsidRPr="00E75753">
        <w:rPr>
          <w:rFonts w:cstheme="minorHAnsi"/>
          <w:b/>
          <w:bCs/>
          <w:sz w:val="20"/>
          <w:szCs w:val="20"/>
        </w:rPr>
        <w:t>Yields: </w:t>
      </w:r>
      <w:r w:rsidRPr="00E75753">
        <w:rPr>
          <w:rFonts w:cstheme="minorHAnsi"/>
          <w:sz w:val="20"/>
          <w:szCs w:val="20"/>
        </w:rPr>
        <w:t xml:space="preserve">The 10-Year Treasury </w:t>
      </w:r>
      <w:r w:rsidR="007E274A">
        <w:rPr>
          <w:rFonts w:cstheme="minorHAnsi"/>
          <w:sz w:val="20"/>
          <w:szCs w:val="20"/>
        </w:rPr>
        <w:t>decreased</w:t>
      </w:r>
      <w:r w:rsidRPr="00E75753">
        <w:rPr>
          <w:rFonts w:cstheme="minorHAnsi"/>
          <w:sz w:val="20"/>
          <w:szCs w:val="20"/>
        </w:rPr>
        <w:t xml:space="preserve"> by </w:t>
      </w:r>
      <w:r w:rsidR="007E274A">
        <w:rPr>
          <w:rFonts w:cstheme="minorHAnsi"/>
          <w:sz w:val="20"/>
          <w:szCs w:val="20"/>
        </w:rPr>
        <w:t>11</w:t>
      </w:r>
      <w:r w:rsidR="0055738B">
        <w:rPr>
          <w:rFonts w:cstheme="minorHAnsi"/>
          <w:sz w:val="20"/>
          <w:szCs w:val="20"/>
        </w:rPr>
        <w:t xml:space="preserve"> basis points</w:t>
      </w:r>
      <w:r w:rsidRPr="00E75753">
        <w:rPr>
          <w:rFonts w:cstheme="minorHAnsi"/>
          <w:sz w:val="20"/>
          <w:szCs w:val="20"/>
        </w:rPr>
        <w:t xml:space="preserve"> to 1.</w:t>
      </w:r>
      <w:r w:rsidR="007E274A">
        <w:rPr>
          <w:rFonts w:cstheme="minorHAnsi"/>
          <w:sz w:val="20"/>
          <w:szCs w:val="20"/>
        </w:rPr>
        <w:t>44</w:t>
      </w:r>
      <w:r w:rsidRPr="00E75753">
        <w:rPr>
          <w:rFonts w:cstheme="minorHAnsi"/>
          <w:sz w:val="20"/>
          <w:szCs w:val="20"/>
        </w:rPr>
        <w:t>%.</w:t>
      </w:r>
      <w:r w:rsidRPr="00E75753">
        <w:rPr>
          <w:rFonts w:cstheme="minorHAnsi"/>
          <w:b/>
          <w:bCs/>
          <w:sz w:val="20"/>
          <w:szCs w:val="20"/>
        </w:rPr>
        <w:t> </w:t>
      </w:r>
    </w:p>
    <w:p w14:paraId="3FB272E2" w14:textId="1A8369F3" w:rsidR="00E75753" w:rsidRPr="00E75753" w:rsidRDefault="00E75753" w:rsidP="00E75753">
      <w:pPr>
        <w:pStyle w:val="NoSpacing"/>
        <w:numPr>
          <w:ilvl w:val="0"/>
          <w:numId w:val="2"/>
        </w:numPr>
        <w:rPr>
          <w:rFonts w:cstheme="minorHAnsi"/>
          <w:sz w:val="20"/>
          <w:szCs w:val="20"/>
        </w:rPr>
      </w:pPr>
      <w:r w:rsidRPr="00E75753">
        <w:rPr>
          <w:rFonts w:cstheme="minorHAnsi"/>
          <w:b/>
          <w:bCs/>
          <w:sz w:val="20"/>
          <w:szCs w:val="20"/>
        </w:rPr>
        <w:t>Fixed Income: </w:t>
      </w:r>
      <w:r w:rsidRPr="00E75753">
        <w:rPr>
          <w:rFonts w:cstheme="minorHAnsi"/>
          <w:sz w:val="20"/>
          <w:szCs w:val="20"/>
        </w:rPr>
        <w:t xml:space="preserve">The Bloomberg Barclays US Aggregate Bond index (Agg) </w:t>
      </w:r>
      <w:r w:rsidR="007E274A">
        <w:rPr>
          <w:rFonts w:cstheme="minorHAnsi"/>
          <w:sz w:val="20"/>
          <w:szCs w:val="20"/>
        </w:rPr>
        <w:t>increased</w:t>
      </w:r>
      <w:r w:rsidRPr="00E75753">
        <w:rPr>
          <w:rFonts w:cstheme="minorHAnsi"/>
          <w:sz w:val="20"/>
          <w:szCs w:val="20"/>
        </w:rPr>
        <w:t xml:space="preserve"> by </w:t>
      </w:r>
      <w:r w:rsidR="007E274A">
        <w:rPr>
          <w:rFonts w:cstheme="minorHAnsi"/>
          <w:sz w:val="20"/>
          <w:szCs w:val="20"/>
        </w:rPr>
        <w:t>+0.3</w:t>
      </w:r>
      <w:r w:rsidRPr="00E75753">
        <w:rPr>
          <w:rFonts w:cstheme="minorHAnsi"/>
          <w:sz w:val="20"/>
          <w:szCs w:val="20"/>
        </w:rPr>
        <w:t>%. </w:t>
      </w:r>
    </w:p>
    <w:p w14:paraId="08E1F532" w14:textId="63255EE3" w:rsidR="0011028B" w:rsidRDefault="0011028B" w:rsidP="00677E6D">
      <w:pPr>
        <w:pStyle w:val="NoSpacing"/>
        <w:rPr>
          <w:sz w:val="20"/>
          <w:szCs w:val="20"/>
        </w:rPr>
      </w:pPr>
    </w:p>
    <w:p w14:paraId="74B2AF76" w14:textId="2330F046" w:rsidR="0042139A" w:rsidRDefault="00E41C81" w:rsidP="00677E6D">
      <w:pPr>
        <w:pStyle w:val="NoSpacing"/>
        <w:rPr>
          <w:sz w:val="20"/>
          <w:szCs w:val="20"/>
        </w:rPr>
      </w:pPr>
      <w:r>
        <w:rPr>
          <w:sz w:val="20"/>
          <w:szCs w:val="20"/>
        </w:rPr>
        <w:t xml:space="preserve">The market weakness to end the month was caused by fears over the Omicron variant and the possibility the Fed may be forced to tighten monetary policy earlier than expected due to higher than anticipated inflation.  We will continue to highlight that we have prepared for market </w:t>
      </w:r>
      <w:r w:rsidR="00BD7047">
        <w:rPr>
          <w:sz w:val="20"/>
          <w:szCs w:val="20"/>
        </w:rPr>
        <w:t>volatility by taking profits and shifting portfolios more defensively.  Moving into 2022, covid will remain an overhang while the markets</w:t>
      </w:r>
      <w:r w:rsidR="002C73B9">
        <w:rPr>
          <w:sz w:val="20"/>
          <w:szCs w:val="20"/>
        </w:rPr>
        <w:t xml:space="preserve"> and the economy will be forced to stand on their own, which means decreased levels of monetary and fiscal stimulus leading to decelerating rates of economic and corporate earnings growth.  The removal of an unprecedented level of stimulus likely means higher volatility.  </w:t>
      </w:r>
      <w:r w:rsidR="0042139A">
        <w:rPr>
          <w:bCs/>
          <w:sz w:val="20"/>
          <w:szCs w:val="20"/>
        </w:rPr>
        <w:t xml:space="preserve">Anticipating volatility does not mean that we are predicting a market crash.  We are simply expecting the investment environment to get tougher as both volatility and market returns revert toward historical averages.  </w:t>
      </w:r>
    </w:p>
    <w:p w14:paraId="28E7E2EE" w14:textId="77777777" w:rsidR="00B742CA" w:rsidRDefault="00B742CA" w:rsidP="00677E6D">
      <w:pPr>
        <w:pStyle w:val="NoSpacing"/>
        <w:rPr>
          <w:sz w:val="20"/>
          <w:szCs w:val="20"/>
        </w:rPr>
      </w:pPr>
    </w:p>
    <w:p w14:paraId="2BB626C6" w14:textId="4AB4D24A" w:rsidR="00442616" w:rsidRDefault="00442616" w:rsidP="00677E6D">
      <w:pPr>
        <w:pStyle w:val="NoSpacing"/>
        <w:rPr>
          <w:sz w:val="20"/>
          <w:szCs w:val="20"/>
        </w:rPr>
      </w:pPr>
      <w:r>
        <w:rPr>
          <w:sz w:val="20"/>
          <w:szCs w:val="20"/>
        </w:rPr>
        <w:t>The market</w:t>
      </w:r>
      <w:r w:rsidR="008D06F9">
        <w:rPr>
          <w:sz w:val="20"/>
          <w:szCs w:val="20"/>
        </w:rPr>
        <w:t>s</w:t>
      </w:r>
      <w:r>
        <w:rPr>
          <w:sz w:val="20"/>
          <w:szCs w:val="20"/>
        </w:rPr>
        <w:t xml:space="preserve"> ha</w:t>
      </w:r>
      <w:r w:rsidR="008D06F9">
        <w:rPr>
          <w:sz w:val="20"/>
          <w:szCs w:val="20"/>
        </w:rPr>
        <w:t>ve</w:t>
      </w:r>
      <w:r w:rsidR="002C73B9">
        <w:rPr>
          <w:sz w:val="20"/>
          <w:szCs w:val="20"/>
        </w:rPr>
        <w:t xml:space="preserve"> several critical</w:t>
      </w:r>
      <w:r>
        <w:rPr>
          <w:sz w:val="20"/>
          <w:szCs w:val="20"/>
        </w:rPr>
        <w:t xml:space="preserve"> events </w:t>
      </w:r>
      <w:r w:rsidR="002C73B9">
        <w:rPr>
          <w:sz w:val="20"/>
          <w:szCs w:val="20"/>
        </w:rPr>
        <w:t>before the end of the year</w:t>
      </w:r>
      <w:r>
        <w:rPr>
          <w:sz w:val="20"/>
          <w:szCs w:val="20"/>
        </w:rPr>
        <w:t>, including, the</w:t>
      </w:r>
      <w:r w:rsidR="008D639D">
        <w:rPr>
          <w:sz w:val="20"/>
          <w:szCs w:val="20"/>
        </w:rPr>
        <w:t xml:space="preserve"> </w:t>
      </w:r>
      <w:r w:rsidR="003772DC">
        <w:rPr>
          <w:sz w:val="20"/>
          <w:szCs w:val="20"/>
        </w:rPr>
        <w:t>OPEC+ Meeting (</w:t>
      </w:r>
      <w:r w:rsidR="008D639D">
        <w:rPr>
          <w:sz w:val="20"/>
          <w:szCs w:val="20"/>
        </w:rPr>
        <w:t>12/1</w:t>
      </w:r>
      <w:r w:rsidR="003772DC">
        <w:rPr>
          <w:sz w:val="20"/>
          <w:szCs w:val="20"/>
        </w:rPr>
        <w:t>), US Government Funding Expiration (12/3), Debt Ceiling Deadline (12/3, although Treasury can utilize emergency measures to extend the date</w:t>
      </w:r>
      <w:r w:rsidR="003772DC" w:rsidRPr="003772DC">
        <w:rPr>
          <w:b/>
          <w:bCs/>
          <w:sz w:val="20"/>
          <w:szCs w:val="20"/>
          <w:highlight w:val="yellow"/>
        </w:rPr>
        <w:t>.  Please see our Client Question on the Debt Ceiling</w:t>
      </w:r>
      <w:r w:rsidR="003772DC">
        <w:rPr>
          <w:sz w:val="20"/>
          <w:szCs w:val="20"/>
        </w:rPr>
        <w:t>)</w:t>
      </w:r>
      <w:r w:rsidR="008D639D">
        <w:rPr>
          <w:sz w:val="20"/>
          <w:szCs w:val="20"/>
        </w:rPr>
        <w:t xml:space="preserve">, November Employment Report (12/3), and the December FOMC Meeting (12/15 – an accelerated taper may be announced).  </w:t>
      </w:r>
      <w:r w:rsidR="004D5CA8" w:rsidRPr="004D5CA8">
        <w:rPr>
          <w:sz w:val="20"/>
          <w:szCs w:val="20"/>
        </w:rPr>
        <w:t xml:space="preserve">We will continue to apply our time-tested investment process based on risk management, asset allocation, and security selection to utilize any volatility as an opportunity to reposition portfolios.  </w:t>
      </w:r>
    </w:p>
    <w:p w14:paraId="6BA3C9D2" w14:textId="05825E66" w:rsidR="00442616" w:rsidRDefault="00442616" w:rsidP="00677E6D">
      <w:pPr>
        <w:pStyle w:val="NoSpacing"/>
        <w:rPr>
          <w:sz w:val="20"/>
          <w:szCs w:val="20"/>
        </w:rPr>
      </w:pPr>
    </w:p>
    <w:p w14:paraId="3E2F4148" w14:textId="77777777" w:rsidR="007F4B86" w:rsidRDefault="007F4B86" w:rsidP="00677E6D">
      <w:pPr>
        <w:pStyle w:val="NoSpacing"/>
        <w:rPr>
          <w:sz w:val="20"/>
          <w:szCs w:val="20"/>
        </w:rPr>
      </w:pPr>
    </w:p>
    <w:p w14:paraId="7AD6CC27" w14:textId="06B08D74" w:rsidR="00A51180" w:rsidRPr="006E50B2" w:rsidRDefault="00A51180" w:rsidP="00677E6D">
      <w:pPr>
        <w:pStyle w:val="NoSpacing"/>
        <w:rPr>
          <w:sz w:val="20"/>
          <w:szCs w:val="20"/>
        </w:rPr>
      </w:pPr>
      <w:r w:rsidRPr="006E50B2">
        <w:rPr>
          <w:sz w:val="20"/>
          <w:szCs w:val="20"/>
        </w:rPr>
        <w:t>As we have done</w:t>
      </w:r>
      <w:r w:rsidR="00C61961" w:rsidRPr="006E50B2">
        <w:rPr>
          <w:sz w:val="20"/>
          <w:szCs w:val="20"/>
        </w:rPr>
        <w:t xml:space="preserve"> in the past</w:t>
      </w:r>
      <w:r w:rsidRPr="006E50B2">
        <w:rPr>
          <w:sz w:val="20"/>
          <w:szCs w:val="20"/>
        </w:rPr>
        <w:t>, we will provide an update</w:t>
      </w:r>
      <w:r w:rsidR="00645154" w:rsidRPr="006E50B2">
        <w:rPr>
          <w:sz w:val="20"/>
          <w:szCs w:val="20"/>
        </w:rPr>
        <w:t xml:space="preserve"> on the</w:t>
      </w:r>
      <w:r w:rsidRPr="006E50B2">
        <w:rPr>
          <w:sz w:val="20"/>
          <w:szCs w:val="20"/>
        </w:rPr>
        <w:t xml:space="preserve"> </w:t>
      </w:r>
      <w:r w:rsidR="000651F5" w:rsidRPr="006E50B2">
        <w:rPr>
          <w:sz w:val="20"/>
          <w:szCs w:val="20"/>
        </w:rPr>
        <w:t>major factors driving the market:</w:t>
      </w:r>
    </w:p>
    <w:p w14:paraId="2098B161" w14:textId="77777777" w:rsidR="00DF1684" w:rsidRPr="006E50B2" w:rsidRDefault="00DF1684" w:rsidP="00C14570">
      <w:pPr>
        <w:pStyle w:val="NoSpacing"/>
        <w:rPr>
          <w:b/>
          <w:bCs/>
          <w:sz w:val="20"/>
          <w:szCs w:val="20"/>
        </w:rPr>
      </w:pPr>
    </w:p>
    <w:p w14:paraId="593AECB4" w14:textId="7F989979" w:rsidR="00EA0322" w:rsidRPr="006E50B2" w:rsidRDefault="00B35BB7" w:rsidP="008F094E">
      <w:pPr>
        <w:pStyle w:val="NoSpacing"/>
        <w:rPr>
          <w:b/>
          <w:bCs/>
          <w:sz w:val="20"/>
          <w:szCs w:val="20"/>
        </w:rPr>
      </w:pPr>
      <w:r w:rsidRPr="006E50B2">
        <w:rPr>
          <w:b/>
          <w:bCs/>
          <w:sz w:val="20"/>
          <w:szCs w:val="20"/>
        </w:rPr>
        <w:t>Covid-19</w:t>
      </w:r>
      <w:r w:rsidR="00132239">
        <w:rPr>
          <w:b/>
          <w:bCs/>
          <w:sz w:val="20"/>
          <w:szCs w:val="20"/>
        </w:rPr>
        <w:t xml:space="preserve"> - Omicron</w:t>
      </w:r>
    </w:p>
    <w:p w14:paraId="77E1581E" w14:textId="717A6D93" w:rsidR="00132239" w:rsidRDefault="00132239" w:rsidP="008F094E">
      <w:pPr>
        <w:pStyle w:val="NoSpacing"/>
        <w:rPr>
          <w:sz w:val="20"/>
          <w:szCs w:val="20"/>
        </w:rPr>
      </w:pPr>
      <w:r>
        <w:rPr>
          <w:sz w:val="20"/>
          <w:szCs w:val="20"/>
        </w:rPr>
        <w:t>The global battle against Covid-19 took a negative turn during the month as scientists discovered the Omicron variant.  The World Health Organization (WHO) designated the strain a “variant of con</w:t>
      </w:r>
      <w:r w:rsidR="0048721D">
        <w:rPr>
          <w:sz w:val="20"/>
          <w:szCs w:val="20"/>
        </w:rPr>
        <w:t>c</w:t>
      </w:r>
      <w:r>
        <w:rPr>
          <w:sz w:val="20"/>
          <w:szCs w:val="20"/>
        </w:rPr>
        <w:t xml:space="preserve">ern,” </w:t>
      </w:r>
      <w:r w:rsidR="0048721D">
        <w:rPr>
          <w:sz w:val="20"/>
          <w:szCs w:val="20"/>
        </w:rPr>
        <w:t xml:space="preserve">meaning that it could prove to be more contagious or lead to more serious illness than other known variants.  Thus far, Omicron has been detected in South Africa, </w:t>
      </w:r>
      <w:r w:rsidR="0048721D" w:rsidRPr="0048721D">
        <w:rPr>
          <w:sz w:val="20"/>
          <w:szCs w:val="20"/>
        </w:rPr>
        <w:t>U.K., Italy, Australia, Belgium, Israel</w:t>
      </w:r>
      <w:r w:rsidR="0048721D">
        <w:rPr>
          <w:sz w:val="20"/>
          <w:szCs w:val="20"/>
        </w:rPr>
        <w:t>,</w:t>
      </w:r>
      <w:r w:rsidR="0048721D" w:rsidRPr="0048721D">
        <w:rPr>
          <w:sz w:val="20"/>
          <w:szCs w:val="20"/>
        </w:rPr>
        <w:t xml:space="preserve"> and Hong Kong.</w:t>
      </w:r>
      <w:r w:rsidR="0048721D">
        <w:rPr>
          <w:sz w:val="20"/>
          <w:szCs w:val="20"/>
        </w:rPr>
        <w:t xml:space="preserve">  Many countries have announced travel restrictions from South Africa</w:t>
      </w:r>
      <w:r w:rsidR="009C303E">
        <w:rPr>
          <w:sz w:val="20"/>
          <w:szCs w:val="20"/>
        </w:rPr>
        <w:t>,</w:t>
      </w:r>
      <w:r w:rsidR="0048721D">
        <w:rPr>
          <w:sz w:val="20"/>
          <w:szCs w:val="20"/>
        </w:rPr>
        <w:t xml:space="preserve"> while Israel and Japan have banned the entry of all foreigners.  </w:t>
      </w:r>
    </w:p>
    <w:p w14:paraId="6C8CC8EC" w14:textId="7004F0F4" w:rsidR="0048721D" w:rsidRDefault="0048721D" w:rsidP="008F094E">
      <w:pPr>
        <w:pStyle w:val="NoSpacing"/>
        <w:rPr>
          <w:sz w:val="20"/>
          <w:szCs w:val="20"/>
        </w:rPr>
      </w:pPr>
    </w:p>
    <w:p w14:paraId="089CBE26" w14:textId="1C80B049" w:rsidR="0048721D" w:rsidRDefault="0048721D" w:rsidP="008F094E">
      <w:pPr>
        <w:pStyle w:val="NoSpacing"/>
        <w:rPr>
          <w:sz w:val="20"/>
          <w:szCs w:val="20"/>
        </w:rPr>
      </w:pPr>
      <w:r>
        <w:rPr>
          <w:sz w:val="20"/>
          <w:szCs w:val="20"/>
        </w:rPr>
        <w:t xml:space="preserve">As of now, </w:t>
      </w:r>
      <w:r w:rsidR="0064016D">
        <w:rPr>
          <w:sz w:val="20"/>
          <w:szCs w:val="20"/>
        </w:rPr>
        <w:t>we are awaiting</w:t>
      </w:r>
      <w:r w:rsidR="009C303E">
        <w:rPr>
          <w:sz w:val="20"/>
          <w:szCs w:val="20"/>
        </w:rPr>
        <w:t xml:space="preserve"> more</w:t>
      </w:r>
      <w:r w:rsidR="0064016D">
        <w:rPr>
          <w:sz w:val="20"/>
          <w:szCs w:val="20"/>
        </w:rPr>
        <w:t xml:space="preserve"> information on the variant, including, transmissibility, severity, and effectiveness of the current vaccines.  </w:t>
      </w:r>
      <w:r w:rsidR="00667CC3">
        <w:rPr>
          <w:sz w:val="20"/>
          <w:szCs w:val="20"/>
        </w:rPr>
        <w:t xml:space="preserve">Regarding the efficacy of current vaccines, Pfizer CEO Albert </w:t>
      </w:r>
      <w:proofErr w:type="spellStart"/>
      <w:r w:rsidR="00667CC3">
        <w:rPr>
          <w:sz w:val="20"/>
          <w:szCs w:val="20"/>
        </w:rPr>
        <w:t>Bourla</w:t>
      </w:r>
      <w:proofErr w:type="spellEnd"/>
      <w:r w:rsidR="00667CC3">
        <w:rPr>
          <w:sz w:val="20"/>
          <w:szCs w:val="20"/>
        </w:rPr>
        <w:t xml:space="preserve"> stated, </w:t>
      </w:r>
      <w:r w:rsidR="00667CC3" w:rsidRPr="00667CC3">
        <w:rPr>
          <w:sz w:val="20"/>
          <w:szCs w:val="20"/>
        </w:rPr>
        <w:t>“I don’t think that the result will be the vaccines don’t protect,</w:t>
      </w:r>
      <w:r w:rsidR="00667CC3">
        <w:rPr>
          <w:sz w:val="20"/>
          <w:szCs w:val="20"/>
        </w:rPr>
        <w:t xml:space="preserve"> </w:t>
      </w:r>
      <w:r w:rsidR="00667CC3" w:rsidRPr="00667CC3">
        <w:rPr>
          <w:sz w:val="20"/>
          <w:szCs w:val="20"/>
        </w:rPr>
        <w:t>I think the result could be, which we don’t know yet, the vaccines protect less.”</w:t>
      </w:r>
      <w:r w:rsidR="00667CC3">
        <w:rPr>
          <w:sz w:val="20"/>
          <w:szCs w:val="20"/>
        </w:rPr>
        <w:t xml:space="preserve">  </w:t>
      </w:r>
      <w:r w:rsidR="0064016D">
        <w:rPr>
          <w:sz w:val="20"/>
          <w:szCs w:val="20"/>
        </w:rPr>
        <w:t xml:space="preserve">Both Pfizer and Moderna </w:t>
      </w:r>
      <w:r w:rsidR="00667CC3">
        <w:rPr>
          <w:sz w:val="20"/>
          <w:szCs w:val="20"/>
        </w:rPr>
        <w:t>have stated that</w:t>
      </w:r>
      <w:r w:rsidR="004B0B37">
        <w:rPr>
          <w:sz w:val="20"/>
          <w:szCs w:val="20"/>
        </w:rPr>
        <w:t>,</w:t>
      </w:r>
      <w:r w:rsidR="00667CC3">
        <w:rPr>
          <w:sz w:val="20"/>
          <w:szCs w:val="20"/>
        </w:rPr>
        <w:t xml:space="preserve"> if </w:t>
      </w:r>
      <w:r w:rsidR="009C303E">
        <w:rPr>
          <w:sz w:val="20"/>
          <w:szCs w:val="20"/>
        </w:rPr>
        <w:t>necessary,</w:t>
      </w:r>
      <w:r w:rsidR="00667CC3">
        <w:rPr>
          <w:sz w:val="20"/>
          <w:szCs w:val="20"/>
        </w:rPr>
        <w:t xml:space="preserve"> they can release an updated vaccine targeting Omicron within a few months.  </w:t>
      </w:r>
      <w:r w:rsidR="004B0B37">
        <w:rPr>
          <w:sz w:val="20"/>
          <w:szCs w:val="20"/>
        </w:rPr>
        <w:t xml:space="preserve">The United States markets will be very sensitive to the potential of any March 2020-style lockdowns, however, in our opinion this is unlikely as the country is now far better equipped to fight covid.  Furthermore, </w:t>
      </w:r>
      <w:r w:rsidR="00393436">
        <w:rPr>
          <w:sz w:val="20"/>
          <w:szCs w:val="20"/>
        </w:rPr>
        <w:t>President Biden publicly stated that “lockdowns are off the table.”</w:t>
      </w:r>
    </w:p>
    <w:p w14:paraId="59A2B7FD" w14:textId="491BB630" w:rsidR="00910855" w:rsidRPr="006E50B2" w:rsidRDefault="00910855" w:rsidP="00C14570">
      <w:pPr>
        <w:pStyle w:val="NoSpacing"/>
        <w:rPr>
          <w:sz w:val="20"/>
          <w:szCs w:val="20"/>
        </w:rPr>
      </w:pPr>
    </w:p>
    <w:p w14:paraId="267FE763" w14:textId="77777777" w:rsidR="001C1D12" w:rsidRDefault="001C1D12" w:rsidP="00C14570">
      <w:pPr>
        <w:pStyle w:val="NoSpacing"/>
        <w:rPr>
          <w:b/>
          <w:bCs/>
          <w:sz w:val="20"/>
          <w:szCs w:val="20"/>
        </w:rPr>
      </w:pPr>
    </w:p>
    <w:p w14:paraId="589BA2DC" w14:textId="69E8E401" w:rsidR="00EA0322" w:rsidRPr="006E50B2" w:rsidRDefault="00093E15" w:rsidP="00C14570">
      <w:pPr>
        <w:pStyle w:val="NoSpacing"/>
        <w:rPr>
          <w:b/>
          <w:bCs/>
          <w:sz w:val="20"/>
          <w:szCs w:val="20"/>
        </w:rPr>
      </w:pPr>
      <w:r w:rsidRPr="006E50B2">
        <w:rPr>
          <w:b/>
          <w:bCs/>
          <w:sz w:val="20"/>
          <w:szCs w:val="20"/>
        </w:rPr>
        <w:t>Monetary Policy</w:t>
      </w:r>
    </w:p>
    <w:p w14:paraId="60DAF3BF" w14:textId="16AE4F74" w:rsidR="00FA2300" w:rsidRDefault="00A424EF" w:rsidP="00C14570">
      <w:pPr>
        <w:pStyle w:val="NoSpacing"/>
        <w:rPr>
          <w:sz w:val="20"/>
          <w:szCs w:val="20"/>
        </w:rPr>
      </w:pPr>
      <w:r>
        <w:rPr>
          <w:sz w:val="20"/>
          <w:szCs w:val="20"/>
        </w:rPr>
        <w:t xml:space="preserve">November contained two major monetary policy </w:t>
      </w:r>
      <w:r w:rsidR="007340A6">
        <w:rPr>
          <w:sz w:val="20"/>
          <w:szCs w:val="20"/>
        </w:rPr>
        <w:t>announcements</w:t>
      </w:r>
      <w:r w:rsidR="00A11E68">
        <w:rPr>
          <w:sz w:val="20"/>
          <w:szCs w:val="20"/>
        </w:rPr>
        <w:t xml:space="preserve">: </w:t>
      </w:r>
      <w:r>
        <w:rPr>
          <w:sz w:val="20"/>
          <w:szCs w:val="20"/>
        </w:rPr>
        <w:t>the</w:t>
      </w:r>
      <w:r w:rsidR="00A11E68">
        <w:rPr>
          <w:sz w:val="20"/>
          <w:szCs w:val="20"/>
        </w:rPr>
        <w:t xml:space="preserve"> start of</w:t>
      </w:r>
      <w:r>
        <w:rPr>
          <w:sz w:val="20"/>
          <w:szCs w:val="20"/>
        </w:rPr>
        <w:t xml:space="preserve"> taper</w:t>
      </w:r>
      <w:r w:rsidR="00A11E68">
        <w:rPr>
          <w:sz w:val="20"/>
          <w:szCs w:val="20"/>
        </w:rPr>
        <w:t>ing the quantitative easing program</w:t>
      </w:r>
      <w:r>
        <w:rPr>
          <w:sz w:val="20"/>
          <w:szCs w:val="20"/>
        </w:rPr>
        <w:t xml:space="preserve"> and the renomination of Jerome Powell as Fed Chair.  </w:t>
      </w:r>
    </w:p>
    <w:p w14:paraId="22D61B6E" w14:textId="77777777" w:rsidR="00FA2300" w:rsidRPr="00FA2300" w:rsidRDefault="00FA2300" w:rsidP="00C14570">
      <w:pPr>
        <w:pStyle w:val="NoSpacing"/>
        <w:rPr>
          <w:sz w:val="12"/>
          <w:szCs w:val="12"/>
        </w:rPr>
      </w:pPr>
    </w:p>
    <w:p w14:paraId="2CE7E965" w14:textId="2F539A17" w:rsidR="008D7B05" w:rsidRDefault="007340A6" w:rsidP="00C14570">
      <w:pPr>
        <w:pStyle w:val="NoSpacing"/>
        <w:rPr>
          <w:sz w:val="20"/>
          <w:szCs w:val="20"/>
        </w:rPr>
      </w:pPr>
      <w:r>
        <w:rPr>
          <w:sz w:val="20"/>
          <w:szCs w:val="20"/>
        </w:rPr>
        <w:t>At the November 3</w:t>
      </w:r>
      <w:r w:rsidRPr="007340A6">
        <w:rPr>
          <w:sz w:val="20"/>
          <w:szCs w:val="20"/>
          <w:vertAlign w:val="superscript"/>
        </w:rPr>
        <w:t>rd</w:t>
      </w:r>
      <w:r>
        <w:rPr>
          <w:sz w:val="20"/>
          <w:szCs w:val="20"/>
        </w:rPr>
        <w:t xml:space="preserve"> meeting, the Fed announced they would begin tapering their quantitative easing program by $15 billion per month.  Prior to the meeting, the Fed was purchasing </w:t>
      </w:r>
      <w:r w:rsidRPr="007340A6">
        <w:rPr>
          <w:sz w:val="20"/>
          <w:szCs w:val="20"/>
        </w:rPr>
        <w:t>at least $80 billion in Treasuries and $40 billion in agency mortgage-backed securities per month.</w:t>
      </w:r>
      <w:r>
        <w:rPr>
          <w:sz w:val="20"/>
          <w:szCs w:val="20"/>
        </w:rPr>
        <w:t xml:space="preserve">  At the current pace, the Fed will stop purchasing bonds by the summer of 2022.</w:t>
      </w:r>
      <w:r w:rsidR="00A11E68">
        <w:rPr>
          <w:sz w:val="20"/>
          <w:szCs w:val="20"/>
        </w:rPr>
        <w:t xml:space="preserve">  However, the Fed is al</w:t>
      </w:r>
      <w:r w:rsidR="003E3063">
        <w:rPr>
          <w:sz w:val="20"/>
          <w:szCs w:val="20"/>
        </w:rPr>
        <w:t>ready</w:t>
      </w:r>
      <w:r w:rsidR="00A11E68">
        <w:rPr>
          <w:sz w:val="20"/>
          <w:szCs w:val="20"/>
        </w:rPr>
        <w:t xml:space="preserve"> considering accelerating the pace of the taper due to rising inflation.  Fed Chair Powell testified in front of a Senate Committee on November 30</w:t>
      </w:r>
      <w:r w:rsidR="00A11E68" w:rsidRPr="00A11E68">
        <w:rPr>
          <w:sz w:val="20"/>
          <w:szCs w:val="20"/>
          <w:vertAlign w:val="superscript"/>
        </w:rPr>
        <w:t>th</w:t>
      </w:r>
      <w:r w:rsidR="00A11E68">
        <w:rPr>
          <w:sz w:val="20"/>
          <w:szCs w:val="20"/>
        </w:rPr>
        <w:t xml:space="preserve"> and stated that </w:t>
      </w:r>
      <w:r w:rsidR="00A11E68" w:rsidRPr="00A11E68">
        <w:rPr>
          <w:sz w:val="20"/>
          <w:szCs w:val="20"/>
        </w:rPr>
        <w:t>“</w:t>
      </w:r>
      <w:r w:rsidR="00A11E68">
        <w:rPr>
          <w:sz w:val="20"/>
          <w:szCs w:val="20"/>
        </w:rPr>
        <w:t>a</w:t>
      </w:r>
      <w:r w:rsidR="00A11E68" w:rsidRPr="00A11E68">
        <w:rPr>
          <w:sz w:val="20"/>
          <w:szCs w:val="20"/>
        </w:rPr>
        <w:t xml:space="preserve">t this point, the </w:t>
      </w:r>
      <w:r w:rsidR="00A11E68" w:rsidRPr="00A11E68">
        <w:rPr>
          <w:sz w:val="20"/>
          <w:szCs w:val="20"/>
        </w:rPr>
        <w:lastRenderedPageBreak/>
        <w:t>economy is very strong</w:t>
      </w:r>
      <w:r w:rsidR="00A11E68">
        <w:rPr>
          <w:sz w:val="20"/>
          <w:szCs w:val="20"/>
        </w:rPr>
        <w:t xml:space="preserve"> </w:t>
      </w:r>
      <w:r w:rsidR="00A11E68" w:rsidRPr="00A11E68">
        <w:rPr>
          <w:sz w:val="20"/>
          <w:szCs w:val="20"/>
        </w:rPr>
        <w:t>and inflationary pressures are high</w:t>
      </w:r>
      <w:r w:rsidR="00A11E68">
        <w:rPr>
          <w:sz w:val="20"/>
          <w:szCs w:val="20"/>
        </w:rPr>
        <w:t>, i</w:t>
      </w:r>
      <w:r w:rsidR="00A11E68" w:rsidRPr="00A11E68">
        <w:rPr>
          <w:sz w:val="20"/>
          <w:szCs w:val="20"/>
        </w:rPr>
        <w:t>t is therefore appropriate in my view to consider wrapping up the taper of our asset purchases</w:t>
      </w:r>
      <w:r w:rsidR="00A11E68">
        <w:rPr>
          <w:sz w:val="20"/>
          <w:szCs w:val="20"/>
        </w:rPr>
        <w:t xml:space="preserve"> </w:t>
      </w:r>
      <w:r w:rsidR="00A11E68" w:rsidRPr="00A11E68">
        <w:rPr>
          <w:sz w:val="20"/>
          <w:szCs w:val="20"/>
        </w:rPr>
        <w:t>perhaps a few months sooner</w:t>
      </w:r>
      <w:r w:rsidR="00A11E68">
        <w:rPr>
          <w:sz w:val="20"/>
          <w:szCs w:val="20"/>
        </w:rPr>
        <w:t xml:space="preserve">.  </w:t>
      </w:r>
      <w:r w:rsidR="00A11E68" w:rsidRPr="00A11E68">
        <w:rPr>
          <w:sz w:val="20"/>
          <w:szCs w:val="20"/>
        </w:rPr>
        <w:t>I expect that we will discuss that at our upcoming meeting.”</w:t>
      </w:r>
      <w:r w:rsidR="00A11E68">
        <w:rPr>
          <w:sz w:val="20"/>
          <w:szCs w:val="20"/>
        </w:rPr>
        <w:t xml:space="preserve">  Powell’s comments indicate that the FOMC may announce an accelerated taper at their December 15</w:t>
      </w:r>
      <w:r w:rsidR="00A11E68" w:rsidRPr="00A11E68">
        <w:rPr>
          <w:sz w:val="20"/>
          <w:szCs w:val="20"/>
          <w:vertAlign w:val="superscript"/>
        </w:rPr>
        <w:t>th</w:t>
      </w:r>
      <w:r w:rsidR="00A11E68">
        <w:rPr>
          <w:sz w:val="20"/>
          <w:szCs w:val="20"/>
        </w:rPr>
        <w:t xml:space="preserve"> meeting.  </w:t>
      </w:r>
      <w:r w:rsidR="003E3063">
        <w:rPr>
          <w:sz w:val="20"/>
          <w:szCs w:val="20"/>
        </w:rPr>
        <w:t>We suspect than an accelerated taper in December depends on how much more is known about Omicron.</w:t>
      </w:r>
    </w:p>
    <w:p w14:paraId="6354E4D4" w14:textId="4ADB8583" w:rsidR="008A4AA1" w:rsidRPr="00FA2300" w:rsidRDefault="008A4AA1" w:rsidP="00C14570">
      <w:pPr>
        <w:pStyle w:val="NoSpacing"/>
        <w:rPr>
          <w:sz w:val="12"/>
          <w:szCs w:val="12"/>
        </w:rPr>
      </w:pPr>
    </w:p>
    <w:p w14:paraId="629DCD07" w14:textId="1B0E6239" w:rsidR="008A4AA1" w:rsidRDefault="008A4AA1" w:rsidP="00C14570">
      <w:pPr>
        <w:pStyle w:val="NoSpacing"/>
        <w:rPr>
          <w:sz w:val="20"/>
          <w:szCs w:val="20"/>
        </w:rPr>
      </w:pPr>
      <w:r>
        <w:rPr>
          <w:sz w:val="20"/>
          <w:szCs w:val="20"/>
        </w:rPr>
        <w:t>On November 22</w:t>
      </w:r>
      <w:r w:rsidRPr="008A4AA1">
        <w:rPr>
          <w:sz w:val="20"/>
          <w:szCs w:val="20"/>
          <w:vertAlign w:val="superscript"/>
        </w:rPr>
        <w:t>nd</w:t>
      </w:r>
      <w:r>
        <w:rPr>
          <w:sz w:val="20"/>
          <w:szCs w:val="20"/>
        </w:rPr>
        <w:t>, President Biden announced that he would nominate Jerome Powell to a second term as Fed Chair.  Despite some pushback from Progressives, Powell should</w:t>
      </w:r>
      <w:r w:rsidR="00A11E68">
        <w:rPr>
          <w:sz w:val="20"/>
          <w:szCs w:val="20"/>
        </w:rPr>
        <w:t xml:space="preserve"> be confirmed</w:t>
      </w:r>
      <w:r>
        <w:rPr>
          <w:sz w:val="20"/>
          <w:szCs w:val="20"/>
        </w:rPr>
        <w:t xml:space="preserve"> by the Senate</w:t>
      </w:r>
      <w:r w:rsidR="00A11E68">
        <w:rPr>
          <w:sz w:val="20"/>
          <w:szCs w:val="20"/>
        </w:rPr>
        <w:t xml:space="preserve"> with little trouble</w:t>
      </w:r>
      <w:r>
        <w:rPr>
          <w:sz w:val="20"/>
          <w:szCs w:val="20"/>
        </w:rPr>
        <w:t xml:space="preserve"> (Powell received 84 Senate votes in favor for his first term in 2018).  In our opinion, Chair Powell deserves a lot of credit for taking forceful action during the early days of the pandemic and helping the country avoid a major economic recession and stock market crash.  </w:t>
      </w:r>
      <w:r w:rsidR="000449E7">
        <w:rPr>
          <w:sz w:val="20"/>
          <w:szCs w:val="20"/>
        </w:rPr>
        <w:t xml:space="preserve">Now </w:t>
      </w:r>
      <w:r w:rsidR="008564B9">
        <w:rPr>
          <w:sz w:val="20"/>
          <w:szCs w:val="20"/>
        </w:rPr>
        <w:t xml:space="preserve">he </w:t>
      </w:r>
      <w:r w:rsidR="000449E7">
        <w:rPr>
          <w:sz w:val="20"/>
          <w:szCs w:val="20"/>
        </w:rPr>
        <w:t xml:space="preserve">faces a different challenge as the economy continues to recover and inflation has reached its highest level in decades.  </w:t>
      </w:r>
      <w:r w:rsidR="008564B9">
        <w:rPr>
          <w:sz w:val="20"/>
          <w:szCs w:val="20"/>
        </w:rPr>
        <w:t xml:space="preserve">However, </w:t>
      </w:r>
      <w:r w:rsidR="000449E7">
        <w:rPr>
          <w:sz w:val="20"/>
          <w:szCs w:val="20"/>
        </w:rPr>
        <w:t xml:space="preserve">Powell </w:t>
      </w:r>
      <w:r w:rsidR="008564B9">
        <w:rPr>
          <w:sz w:val="20"/>
          <w:szCs w:val="20"/>
        </w:rPr>
        <w:t>has proven that he</w:t>
      </w:r>
      <w:r w:rsidR="00F50303">
        <w:rPr>
          <w:sz w:val="20"/>
          <w:szCs w:val="20"/>
        </w:rPr>
        <w:t xml:space="preserve"> is a more-than-capable Fed Chair</w:t>
      </w:r>
      <w:r w:rsidR="008564B9">
        <w:rPr>
          <w:sz w:val="20"/>
          <w:szCs w:val="20"/>
        </w:rPr>
        <w:t xml:space="preserve"> and deserves another term.  </w:t>
      </w:r>
      <w:r w:rsidR="000449E7">
        <w:rPr>
          <w:sz w:val="20"/>
          <w:szCs w:val="20"/>
        </w:rPr>
        <w:t xml:space="preserve"> </w:t>
      </w:r>
      <w:r>
        <w:rPr>
          <w:sz w:val="20"/>
          <w:szCs w:val="20"/>
        </w:rPr>
        <w:t xml:space="preserve"> </w:t>
      </w:r>
    </w:p>
    <w:p w14:paraId="622B17F0" w14:textId="2A4236E5" w:rsidR="007340A6" w:rsidRDefault="007340A6" w:rsidP="00C14570">
      <w:pPr>
        <w:pStyle w:val="NoSpacing"/>
        <w:rPr>
          <w:sz w:val="20"/>
          <w:szCs w:val="20"/>
        </w:rPr>
      </w:pPr>
    </w:p>
    <w:p w14:paraId="4940A776" w14:textId="77777777" w:rsidR="007340A6" w:rsidRDefault="007340A6" w:rsidP="00C14570">
      <w:pPr>
        <w:pStyle w:val="NoSpacing"/>
        <w:rPr>
          <w:sz w:val="20"/>
          <w:szCs w:val="20"/>
        </w:rPr>
      </w:pPr>
    </w:p>
    <w:p w14:paraId="539DCDF1" w14:textId="5CDAD19E" w:rsidR="00186EB9" w:rsidRDefault="00186EB9" w:rsidP="007B19C0">
      <w:pPr>
        <w:pStyle w:val="NoSpacing"/>
        <w:rPr>
          <w:b/>
          <w:bCs/>
          <w:sz w:val="20"/>
          <w:szCs w:val="20"/>
        </w:rPr>
      </w:pPr>
      <w:r>
        <w:rPr>
          <w:b/>
          <w:bCs/>
          <w:sz w:val="20"/>
          <w:szCs w:val="20"/>
        </w:rPr>
        <w:t>Inflation</w:t>
      </w:r>
    </w:p>
    <w:p w14:paraId="51A888D8" w14:textId="1D11A08D" w:rsidR="00186EB9" w:rsidRPr="00186EB9" w:rsidRDefault="008564B9" w:rsidP="007B19C0">
      <w:pPr>
        <w:pStyle w:val="NoSpacing"/>
        <w:rPr>
          <w:sz w:val="20"/>
          <w:szCs w:val="20"/>
        </w:rPr>
      </w:pPr>
      <w:r>
        <w:rPr>
          <w:sz w:val="20"/>
          <w:szCs w:val="20"/>
        </w:rPr>
        <w:t>Inflation readings continue to run at</w:t>
      </w:r>
      <w:r w:rsidR="00FF62B9">
        <w:rPr>
          <w:sz w:val="20"/>
          <w:szCs w:val="20"/>
        </w:rPr>
        <w:t xml:space="preserve"> their highest levels in </w:t>
      </w:r>
      <w:r>
        <w:rPr>
          <w:sz w:val="20"/>
          <w:szCs w:val="20"/>
        </w:rPr>
        <w:t>decades</w:t>
      </w:r>
      <w:r w:rsidR="00FF62B9">
        <w:rPr>
          <w:sz w:val="20"/>
          <w:szCs w:val="20"/>
        </w:rPr>
        <w:t xml:space="preserve"> due to supply chain bottlenecks, surging energy prices, and pent-up demand.</w:t>
      </w:r>
      <w:r w:rsidR="00A14F72">
        <w:rPr>
          <w:sz w:val="20"/>
          <w:szCs w:val="20"/>
        </w:rPr>
        <w:t xml:space="preserve">  At a recent Senate Committee hearing, Fed Chair Powell finally admitted that it is time to “retire the word transitory” as it relates to inflation.  </w:t>
      </w:r>
      <w:r w:rsidR="00A14F72" w:rsidRPr="00186EB9">
        <w:rPr>
          <w:sz w:val="20"/>
          <w:szCs w:val="20"/>
        </w:rPr>
        <w:t xml:space="preserve">The </w:t>
      </w:r>
      <w:r w:rsidR="00A14F72">
        <w:rPr>
          <w:sz w:val="20"/>
          <w:szCs w:val="20"/>
        </w:rPr>
        <w:t>Fed’s preferred inflation measure (</w:t>
      </w:r>
      <w:r w:rsidR="00A14F72" w:rsidRPr="00186EB9">
        <w:rPr>
          <w:sz w:val="20"/>
          <w:szCs w:val="20"/>
        </w:rPr>
        <w:t>Core PCE inflation) increased by +</w:t>
      </w:r>
      <w:r w:rsidR="00A14F72">
        <w:rPr>
          <w:sz w:val="20"/>
          <w:szCs w:val="20"/>
        </w:rPr>
        <w:t>4.1</w:t>
      </w:r>
      <w:r w:rsidR="00A14F72" w:rsidRPr="00186EB9">
        <w:rPr>
          <w:sz w:val="20"/>
          <w:szCs w:val="20"/>
        </w:rPr>
        <w:t>% Y/Y</w:t>
      </w:r>
      <w:r w:rsidR="00F50303">
        <w:rPr>
          <w:sz w:val="20"/>
          <w:szCs w:val="20"/>
        </w:rPr>
        <w:t xml:space="preserve"> in October</w:t>
      </w:r>
      <w:r w:rsidR="00A14F72" w:rsidRPr="00186EB9">
        <w:rPr>
          <w:sz w:val="20"/>
          <w:szCs w:val="20"/>
        </w:rPr>
        <w:t>, well above the</w:t>
      </w:r>
      <w:r w:rsidR="00A14F72">
        <w:rPr>
          <w:sz w:val="20"/>
          <w:szCs w:val="20"/>
        </w:rPr>
        <w:t xml:space="preserve"> </w:t>
      </w:r>
      <w:r w:rsidR="00A14F72" w:rsidRPr="00186EB9">
        <w:rPr>
          <w:sz w:val="20"/>
          <w:szCs w:val="20"/>
        </w:rPr>
        <w:t>target of about 2%.</w:t>
      </w:r>
      <w:bookmarkStart w:id="0" w:name="_Hlk83977838"/>
      <w:r w:rsidR="00A14F72">
        <w:rPr>
          <w:sz w:val="20"/>
          <w:szCs w:val="20"/>
        </w:rPr>
        <w:t xml:space="preserve">  T</w:t>
      </w:r>
      <w:r w:rsidR="00C85360">
        <w:rPr>
          <w:sz w:val="20"/>
          <w:szCs w:val="20"/>
        </w:rPr>
        <w:t>he FOMC also acknowledged that the “</w:t>
      </w:r>
      <w:r w:rsidR="00C85360" w:rsidRPr="00C85360">
        <w:rPr>
          <w:sz w:val="20"/>
          <w:szCs w:val="20"/>
        </w:rPr>
        <w:t>risks around the inflation projection were skewed to the upside</w:t>
      </w:r>
      <w:r w:rsidR="00C85360">
        <w:rPr>
          <w:sz w:val="20"/>
          <w:szCs w:val="20"/>
        </w:rPr>
        <w:t>,” and they would be willing to complete the taper early and/or raise interest rates quicker than currently anticipated if necessary</w:t>
      </w:r>
      <w:r w:rsidR="00A14F72">
        <w:rPr>
          <w:sz w:val="20"/>
          <w:szCs w:val="20"/>
        </w:rPr>
        <w:t xml:space="preserve">.  </w:t>
      </w:r>
      <w:r w:rsidR="00A14F72" w:rsidRPr="007E433C">
        <w:rPr>
          <w:sz w:val="20"/>
          <w:szCs w:val="20"/>
        </w:rPr>
        <w:t xml:space="preserve">The FOMC projections </w:t>
      </w:r>
      <w:r w:rsidR="00A14F72">
        <w:rPr>
          <w:sz w:val="20"/>
          <w:szCs w:val="20"/>
        </w:rPr>
        <w:t xml:space="preserve">from September </w:t>
      </w:r>
      <w:r w:rsidR="00A14F72" w:rsidRPr="007E433C">
        <w:rPr>
          <w:sz w:val="20"/>
          <w:szCs w:val="20"/>
        </w:rPr>
        <w:t>show</w:t>
      </w:r>
      <w:r w:rsidR="00A14F72">
        <w:rPr>
          <w:sz w:val="20"/>
          <w:szCs w:val="20"/>
        </w:rPr>
        <w:t>ed</w:t>
      </w:r>
      <w:r w:rsidR="00A14F72" w:rsidRPr="007E433C">
        <w:rPr>
          <w:sz w:val="20"/>
          <w:szCs w:val="20"/>
        </w:rPr>
        <w:t xml:space="preserve"> inflation ending the year at +3.7% before falling to +2.3% in 2022.</w:t>
      </w:r>
      <w:r w:rsidR="00A14F72">
        <w:rPr>
          <w:sz w:val="20"/>
          <w:szCs w:val="20"/>
        </w:rPr>
        <w:t xml:space="preserve">  The next FOMC projections will be released on December 15</w:t>
      </w:r>
      <w:r w:rsidR="00A14F72" w:rsidRPr="00A14F72">
        <w:rPr>
          <w:sz w:val="20"/>
          <w:szCs w:val="20"/>
          <w:vertAlign w:val="superscript"/>
        </w:rPr>
        <w:t>th</w:t>
      </w:r>
      <w:r w:rsidR="00A14F72">
        <w:rPr>
          <w:sz w:val="20"/>
          <w:szCs w:val="20"/>
        </w:rPr>
        <w:t xml:space="preserve">, and we are curious to see what the new 2022 inflation projection will look like.  </w:t>
      </w:r>
      <w:r w:rsidR="007E433C">
        <w:rPr>
          <w:rFonts w:cstheme="minorHAnsi"/>
          <w:bCs/>
          <w:sz w:val="20"/>
          <w:szCs w:val="20"/>
        </w:rPr>
        <w:t xml:space="preserve">Please see our </w:t>
      </w:r>
      <w:r w:rsidR="007E433C" w:rsidRPr="00A06C48">
        <w:rPr>
          <w:rFonts w:cstheme="minorHAnsi"/>
          <w:b/>
          <w:sz w:val="20"/>
          <w:szCs w:val="20"/>
          <w:highlight w:val="yellow"/>
        </w:rPr>
        <w:t>Client Question on Inflation</w:t>
      </w:r>
      <w:r w:rsidR="007E433C">
        <w:rPr>
          <w:rFonts w:cstheme="minorHAnsi"/>
          <w:bCs/>
          <w:sz w:val="20"/>
          <w:szCs w:val="20"/>
        </w:rPr>
        <w:t xml:space="preserve"> that details how the data is calculated, why the Fed cares about and targets inflation, and the impact it has on various asset classes (cash, fixed income, and equities).</w:t>
      </w:r>
      <w:bookmarkEnd w:id="0"/>
      <w:r w:rsidR="007E433C">
        <w:rPr>
          <w:rFonts w:cstheme="minorHAnsi"/>
          <w:bCs/>
          <w:sz w:val="20"/>
          <w:szCs w:val="20"/>
        </w:rPr>
        <w:t xml:space="preserve">  </w:t>
      </w:r>
    </w:p>
    <w:p w14:paraId="5AC01EA5" w14:textId="17648DF0" w:rsidR="00186EB9" w:rsidRDefault="00186EB9" w:rsidP="007B19C0">
      <w:pPr>
        <w:pStyle w:val="NoSpacing"/>
        <w:rPr>
          <w:sz w:val="20"/>
          <w:szCs w:val="20"/>
        </w:rPr>
      </w:pPr>
    </w:p>
    <w:p w14:paraId="07A5FC8B" w14:textId="77777777" w:rsidR="00186EB9" w:rsidRDefault="00186EB9" w:rsidP="007B19C0">
      <w:pPr>
        <w:pStyle w:val="NoSpacing"/>
        <w:rPr>
          <w:sz w:val="20"/>
          <w:szCs w:val="20"/>
        </w:rPr>
      </w:pPr>
    </w:p>
    <w:p w14:paraId="3223EB2A" w14:textId="1E94D794" w:rsidR="00EA0322" w:rsidRPr="006E50B2" w:rsidRDefault="00A52790" w:rsidP="007B19C0">
      <w:pPr>
        <w:pStyle w:val="NoSpacing"/>
        <w:rPr>
          <w:b/>
          <w:bCs/>
          <w:sz w:val="20"/>
          <w:szCs w:val="20"/>
        </w:rPr>
      </w:pPr>
      <w:r w:rsidRPr="006E50B2">
        <w:rPr>
          <w:b/>
          <w:bCs/>
          <w:sz w:val="20"/>
          <w:szCs w:val="20"/>
        </w:rPr>
        <w:t xml:space="preserve">Fiscal </w:t>
      </w:r>
      <w:r w:rsidR="00011F20">
        <w:rPr>
          <w:b/>
          <w:bCs/>
          <w:sz w:val="20"/>
          <w:szCs w:val="20"/>
        </w:rPr>
        <w:t>Update</w:t>
      </w:r>
    </w:p>
    <w:p w14:paraId="5CA48A5F" w14:textId="7F3ACE1E" w:rsidR="00FA2300" w:rsidRDefault="00FA2300" w:rsidP="007B19C0">
      <w:pPr>
        <w:pStyle w:val="NoSpacing"/>
        <w:rPr>
          <w:sz w:val="20"/>
          <w:szCs w:val="20"/>
        </w:rPr>
      </w:pPr>
      <w:r>
        <w:rPr>
          <w:sz w:val="20"/>
          <w:szCs w:val="20"/>
        </w:rPr>
        <w:t xml:space="preserve">President Biden signed the $1 trillion infrastructure bill that includes about $550 billion in </w:t>
      </w:r>
      <w:r w:rsidR="00F50303">
        <w:rPr>
          <w:sz w:val="20"/>
          <w:szCs w:val="20"/>
        </w:rPr>
        <w:t xml:space="preserve">new </w:t>
      </w:r>
      <w:r>
        <w:rPr>
          <w:sz w:val="20"/>
          <w:szCs w:val="20"/>
        </w:rPr>
        <w:t>spending.  The House passed the bill on November 5</w:t>
      </w:r>
      <w:r w:rsidRPr="00FA2300">
        <w:rPr>
          <w:sz w:val="20"/>
          <w:szCs w:val="20"/>
          <w:vertAlign w:val="superscript"/>
        </w:rPr>
        <w:t>th</w:t>
      </w:r>
      <w:r>
        <w:rPr>
          <w:sz w:val="20"/>
          <w:szCs w:val="20"/>
        </w:rPr>
        <w:t xml:space="preserve"> after the Senate voted in favor in August.  The bill includes funding for roads, bridges, public transit, power grids, drinking water, and broadband internet.  </w:t>
      </w:r>
    </w:p>
    <w:p w14:paraId="2A74F642" w14:textId="083F11C6" w:rsidR="00FA2300" w:rsidRDefault="00FA2300" w:rsidP="007B19C0">
      <w:pPr>
        <w:pStyle w:val="NoSpacing"/>
        <w:rPr>
          <w:sz w:val="20"/>
          <w:szCs w:val="20"/>
        </w:rPr>
      </w:pPr>
    </w:p>
    <w:p w14:paraId="7699911F" w14:textId="316C252F" w:rsidR="00E34DB3" w:rsidRDefault="00E34DB3" w:rsidP="007B19C0">
      <w:pPr>
        <w:pStyle w:val="NoSpacing"/>
        <w:rPr>
          <w:sz w:val="20"/>
          <w:szCs w:val="20"/>
        </w:rPr>
      </w:pPr>
      <w:r>
        <w:rPr>
          <w:sz w:val="20"/>
          <w:szCs w:val="20"/>
        </w:rPr>
        <w:t>The House passed their version of the $2 trillion Build Back Better budget reconciliation bill on November 19</w:t>
      </w:r>
      <w:r w:rsidRPr="00E34DB3">
        <w:rPr>
          <w:sz w:val="20"/>
          <w:szCs w:val="20"/>
          <w:vertAlign w:val="superscript"/>
        </w:rPr>
        <w:t>th</w:t>
      </w:r>
      <w:r>
        <w:rPr>
          <w:sz w:val="20"/>
          <w:szCs w:val="20"/>
        </w:rPr>
        <w:t>.  The measure includes spending for c</w:t>
      </w:r>
      <w:r w:rsidRPr="00E34DB3">
        <w:rPr>
          <w:sz w:val="20"/>
          <w:szCs w:val="20"/>
        </w:rPr>
        <w:t xml:space="preserve">limate </w:t>
      </w:r>
      <w:r>
        <w:rPr>
          <w:sz w:val="20"/>
          <w:szCs w:val="20"/>
        </w:rPr>
        <w:t>i</w:t>
      </w:r>
      <w:r w:rsidRPr="00E34DB3">
        <w:rPr>
          <w:sz w:val="20"/>
          <w:szCs w:val="20"/>
        </w:rPr>
        <w:t xml:space="preserve">nitiatives, </w:t>
      </w:r>
      <w:r>
        <w:rPr>
          <w:sz w:val="20"/>
          <w:szCs w:val="20"/>
        </w:rPr>
        <w:t>p</w:t>
      </w:r>
      <w:r w:rsidRPr="00E34DB3">
        <w:rPr>
          <w:sz w:val="20"/>
          <w:szCs w:val="20"/>
        </w:rPr>
        <w:t xml:space="preserve">rekindergarten, </w:t>
      </w:r>
      <w:r>
        <w:rPr>
          <w:sz w:val="20"/>
          <w:szCs w:val="20"/>
        </w:rPr>
        <w:t>c</w:t>
      </w:r>
      <w:r w:rsidRPr="00E34DB3">
        <w:rPr>
          <w:sz w:val="20"/>
          <w:szCs w:val="20"/>
        </w:rPr>
        <w:t xml:space="preserve">hildcare, </w:t>
      </w:r>
      <w:r>
        <w:rPr>
          <w:sz w:val="20"/>
          <w:szCs w:val="20"/>
        </w:rPr>
        <w:t>e</w:t>
      </w:r>
      <w:r w:rsidRPr="00E34DB3">
        <w:rPr>
          <w:sz w:val="20"/>
          <w:szCs w:val="20"/>
        </w:rPr>
        <w:t>ldercare,</w:t>
      </w:r>
      <w:r>
        <w:rPr>
          <w:sz w:val="20"/>
          <w:szCs w:val="20"/>
        </w:rPr>
        <w:t xml:space="preserve"> </w:t>
      </w:r>
      <w:r w:rsidRPr="00E34DB3">
        <w:rPr>
          <w:sz w:val="20"/>
          <w:szCs w:val="20"/>
        </w:rPr>
        <w:t xml:space="preserve">paid leave, </w:t>
      </w:r>
      <w:r>
        <w:rPr>
          <w:sz w:val="20"/>
          <w:szCs w:val="20"/>
        </w:rPr>
        <w:t xml:space="preserve">and immigration.  To pay for the </w:t>
      </w:r>
      <w:r w:rsidR="00F50303">
        <w:rPr>
          <w:sz w:val="20"/>
          <w:szCs w:val="20"/>
        </w:rPr>
        <w:t>initiatives</w:t>
      </w:r>
      <w:r>
        <w:rPr>
          <w:sz w:val="20"/>
          <w:szCs w:val="20"/>
        </w:rPr>
        <w:t xml:space="preserve">, the House bill contains a 15% corporate minimum tax rate, a 1% tax on corporate stock buybacks, a </w:t>
      </w:r>
      <w:r w:rsidRPr="00E34DB3">
        <w:rPr>
          <w:sz w:val="20"/>
          <w:szCs w:val="20"/>
        </w:rPr>
        <w:t xml:space="preserve">5% surtax on </w:t>
      </w:r>
      <w:r>
        <w:rPr>
          <w:sz w:val="20"/>
          <w:szCs w:val="20"/>
        </w:rPr>
        <w:t xml:space="preserve">individual </w:t>
      </w:r>
      <w:r w:rsidRPr="00E34DB3">
        <w:rPr>
          <w:sz w:val="20"/>
          <w:szCs w:val="20"/>
        </w:rPr>
        <w:t>adjusted gross income above $10 million and an additional 3% on above $25 million</w:t>
      </w:r>
      <w:r>
        <w:rPr>
          <w:sz w:val="20"/>
          <w:szCs w:val="20"/>
        </w:rPr>
        <w:t>,</w:t>
      </w:r>
      <w:r w:rsidR="000F5A69">
        <w:rPr>
          <w:sz w:val="20"/>
          <w:szCs w:val="20"/>
        </w:rPr>
        <w:t xml:space="preserve"> and</w:t>
      </w:r>
      <w:r>
        <w:rPr>
          <w:sz w:val="20"/>
          <w:szCs w:val="20"/>
        </w:rPr>
        <w:t xml:space="preserve"> increasing the IRS </w:t>
      </w:r>
      <w:r w:rsidR="000F5A69">
        <w:rPr>
          <w:sz w:val="20"/>
          <w:szCs w:val="20"/>
        </w:rPr>
        <w:t>workforce</w:t>
      </w:r>
      <w:r>
        <w:rPr>
          <w:sz w:val="20"/>
          <w:szCs w:val="20"/>
        </w:rPr>
        <w:t xml:space="preserve"> with a</w:t>
      </w:r>
      <w:r w:rsidR="000F5A69">
        <w:rPr>
          <w:sz w:val="20"/>
          <w:szCs w:val="20"/>
        </w:rPr>
        <w:t xml:space="preserve"> goal </w:t>
      </w:r>
      <w:r>
        <w:rPr>
          <w:sz w:val="20"/>
          <w:szCs w:val="20"/>
        </w:rPr>
        <w:t xml:space="preserve">of tougher enforcement of tax laws.  </w:t>
      </w:r>
      <w:r w:rsidR="000F5A69" w:rsidRPr="000F5A69">
        <w:rPr>
          <w:sz w:val="20"/>
          <w:szCs w:val="20"/>
        </w:rPr>
        <w:t>The Congressional Budget Office calculated that the House Reconciliation bill would contribute $367 billion to the deficit over 10 years</w:t>
      </w:r>
      <w:r w:rsidR="000F5A69">
        <w:rPr>
          <w:sz w:val="20"/>
          <w:szCs w:val="20"/>
        </w:rPr>
        <w:t xml:space="preserve"> (this number does not include increased tax collection from a larger IRS workforce).  The Senate still needs to pass their version of the bill, which will likely look different than</w:t>
      </w:r>
      <w:r w:rsidR="00F50303">
        <w:rPr>
          <w:sz w:val="20"/>
          <w:szCs w:val="20"/>
        </w:rPr>
        <w:t xml:space="preserve"> what</w:t>
      </w:r>
      <w:r w:rsidR="000F5A69">
        <w:rPr>
          <w:sz w:val="20"/>
          <w:szCs w:val="20"/>
        </w:rPr>
        <w:t xml:space="preserve"> the House</w:t>
      </w:r>
      <w:r w:rsidR="00F50303">
        <w:rPr>
          <w:sz w:val="20"/>
          <w:szCs w:val="20"/>
        </w:rPr>
        <w:t xml:space="preserve"> passed</w:t>
      </w:r>
      <w:r w:rsidR="003060C1">
        <w:rPr>
          <w:sz w:val="20"/>
          <w:szCs w:val="20"/>
        </w:rPr>
        <w:t>.  Senate Majority Leader Chuck Schumer (D; New York) is targeting the week of December 13</w:t>
      </w:r>
      <w:r w:rsidR="003060C1" w:rsidRPr="003060C1">
        <w:rPr>
          <w:sz w:val="20"/>
          <w:szCs w:val="20"/>
          <w:vertAlign w:val="superscript"/>
        </w:rPr>
        <w:t>th</w:t>
      </w:r>
      <w:r w:rsidR="003060C1">
        <w:rPr>
          <w:sz w:val="20"/>
          <w:szCs w:val="20"/>
        </w:rPr>
        <w:t xml:space="preserve"> for the vote, while </w:t>
      </w:r>
      <w:r w:rsidR="000F5A69" w:rsidRPr="000F5A69">
        <w:rPr>
          <w:sz w:val="20"/>
          <w:szCs w:val="20"/>
        </w:rPr>
        <w:t>Senator</w:t>
      </w:r>
      <w:r w:rsidR="007F4B86">
        <w:rPr>
          <w:sz w:val="20"/>
          <w:szCs w:val="20"/>
        </w:rPr>
        <w:t xml:space="preserve"> </w:t>
      </w:r>
      <w:r w:rsidR="000F5A69" w:rsidRPr="000F5A69">
        <w:rPr>
          <w:sz w:val="20"/>
          <w:szCs w:val="20"/>
        </w:rPr>
        <w:t xml:space="preserve">Joe Manchin (D; West Virginia) </w:t>
      </w:r>
      <w:r w:rsidR="007F4B86">
        <w:rPr>
          <w:sz w:val="20"/>
          <w:szCs w:val="20"/>
        </w:rPr>
        <w:t>has expressed some hesitation to support another spending package in the face of rising inflation.</w:t>
      </w:r>
      <w:r w:rsidR="003060C1">
        <w:rPr>
          <w:sz w:val="20"/>
          <w:szCs w:val="20"/>
        </w:rPr>
        <w:t xml:space="preserve">  </w:t>
      </w:r>
      <w:r w:rsidR="003060C1" w:rsidRPr="000F5A69">
        <w:rPr>
          <w:sz w:val="20"/>
          <w:szCs w:val="20"/>
        </w:rPr>
        <w:t xml:space="preserve">If </w:t>
      </w:r>
      <w:r w:rsidR="003060C1">
        <w:rPr>
          <w:sz w:val="20"/>
          <w:szCs w:val="20"/>
        </w:rPr>
        <w:t xml:space="preserve">Senate </w:t>
      </w:r>
      <w:r w:rsidR="003060C1" w:rsidRPr="000F5A69">
        <w:rPr>
          <w:sz w:val="20"/>
          <w:szCs w:val="20"/>
        </w:rPr>
        <w:t>Republicans unanimously oppose the bill, Democrats can</w:t>
      </w:r>
      <w:r w:rsidR="003060C1">
        <w:rPr>
          <w:sz w:val="20"/>
          <w:szCs w:val="20"/>
        </w:rPr>
        <w:t>not</w:t>
      </w:r>
      <w:r w:rsidR="003060C1" w:rsidRPr="000F5A69">
        <w:rPr>
          <w:sz w:val="20"/>
          <w:szCs w:val="20"/>
        </w:rPr>
        <w:t xml:space="preserve"> afford to lose </w:t>
      </w:r>
      <w:r w:rsidR="003060C1">
        <w:rPr>
          <w:sz w:val="20"/>
          <w:szCs w:val="20"/>
        </w:rPr>
        <w:t>any votes</w:t>
      </w:r>
      <w:r w:rsidR="003060C1" w:rsidRPr="000F5A69">
        <w:rPr>
          <w:sz w:val="20"/>
          <w:szCs w:val="20"/>
        </w:rPr>
        <w:t>.</w:t>
      </w:r>
    </w:p>
    <w:p w14:paraId="0C1830CA" w14:textId="77777777" w:rsidR="00FA2300" w:rsidRDefault="00FA2300" w:rsidP="007B19C0">
      <w:pPr>
        <w:pStyle w:val="NoSpacing"/>
        <w:rPr>
          <w:sz w:val="20"/>
          <w:szCs w:val="20"/>
        </w:rPr>
      </w:pPr>
    </w:p>
    <w:p w14:paraId="281525AF" w14:textId="77777777" w:rsidR="003772DC" w:rsidRDefault="003772DC" w:rsidP="00412E43">
      <w:pPr>
        <w:pStyle w:val="NoSpacing"/>
        <w:rPr>
          <w:b/>
          <w:bCs/>
          <w:sz w:val="20"/>
          <w:szCs w:val="20"/>
        </w:rPr>
      </w:pPr>
    </w:p>
    <w:p w14:paraId="00CAFE08" w14:textId="74F9A3FD" w:rsidR="00EA0322" w:rsidRPr="006E50B2" w:rsidRDefault="004564CA" w:rsidP="00412E43">
      <w:pPr>
        <w:pStyle w:val="NoSpacing"/>
        <w:rPr>
          <w:b/>
          <w:bCs/>
          <w:sz w:val="20"/>
          <w:szCs w:val="20"/>
        </w:rPr>
      </w:pPr>
      <w:r w:rsidRPr="006E50B2">
        <w:rPr>
          <w:b/>
          <w:bCs/>
          <w:sz w:val="20"/>
          <w:szCs w:val="20"/>
        </w:rPr>
        <w:t>Economic Data</w:t>
      </w:r>
    </w:p>
    <w:p w14:paraId="4A485D95" w14:textId="1CDB48F4" w:rsidR="0099155A" w:rsidRPr="006E50B2" w:rsidRDefault="00FE4E0E" w:rsidP="00412E43">
      <w:pPr>
        <w:pStyle w:val="NoSpacing"/>
        <w:rPr>
          <w:sz w:val="20"/>
          <w:szCs w:val="20"/>
        </w:rPr>
      </w:pPr>
      <w:r>
        <w:rPr>
          <w:sz w:val="20"/>
          <w:szCs w:val="20"/>
        </w:rPr>
        <w:t>Real GDP is still e</w:t>
      </w:r>
      <w:r w:rsidR="00E5400E">
        <w:rPr>
          <w:sz w:val="20"/>
          <w:szCs w:val="20"/>
        </w:rPr>
        <w:t>stimated</w:t>
      </w:r>
      <w:r>
        <w:rPr>
          <w:sz w:val="20"/>
          <w:szCs w:val="20"/>
        </w:rPr>
        <w:t xml:space="preserve"> to increase by +5.</w:t>
      </w:r>
      <w:r w:rsidR="00E5400E">
        <w:rPr>
          <w:sz w:val="20"/>
          <w:szCs w:val="20"/>
        </w:rPr>
        <w:t>5</w:t>
      </w:r>
      <w:r>
        <w:rPr>
          <w:sz w:val="20"/>
          <w:szCs w:val="20"/>
        </w:rPr>
        <w:t>% in 2021 and +</w:t>
      </w:r>
      <w:r w:rsidR="00E5400E">
        <w:rPr>
          <w:sz w:val="20"/>
          <w:szCs w:val="20"/>
        </w:rPr>
        <w:t>3.9</w:t>
      </w:r>
      <w:r>
        <w:rPr>
          <w:sz w:val="20"/>
          <w:szCs w:val="20"/>
        </w:rPr>
        <w:t>% in 2022.</w:t>
      </w:r>
      <w:r w:rsidR="00E5400E">
        <w:rPr>
          <w:sz w:val="20"/>
          <w:szCs w:val="20"/>
        </w:rPr>
        <w:t xml:space="preserve">  </w:t>
      </w:r>
      <w:r w:rsidR="003414A7" w:rsidRPr="006E50B2">
        <w:rPr>
          <w:b/>
          <w:bCs/>
          <w:sz w:val="20"/>
          <w:szCs w:val="20"/>
        </w:rPr>
        <w:t>Labor Market:</w:t>
      </w:r>
      <w:r w:rsidR="00E5400E">
        <w:rPr>
          <w:b/>
          <w:bCs/>
          <w:sz w:val="20"/>
          <w:szCs w:val="20"/>
        </w:rPr>
        <w:t xml:space="preserve"> </w:t>
      </w:r>
      <w:r w:rsidR="00E5400E" w:rsidRPr="0009520F">
        <w:rPr>
          <w:sz w:val="20"/>
          <w:szCs w:val="20"/>
        </w:rPr>
        <w:t>The labor market continues to</w:t>
      </w:r>
      <w:r w:rsidR="0009520F" w:rsidRPr="0009520F">
        <w:rPr>
          <w:sz w:val="20"/>
          <w:szCs w:val="20"/>
        </w:rPr>
        <w:t xml:space="preserve"> exhibit signs of recovery</w:t>
      </w:r>
      <w:r w:rsidR="00E5400E" w:rsidRPr="0009520F">
        <w:rPr>
          <w:sz w:val="20"/>
          <w:szCs w:val="20"/>
        </w:rPr>
        <w:t xml:space="preserve"> </w:t>
      </w:r>
      <w:r w:rsidR="0009520F" w:rsidRPr="0009520F">
        <w:rPr>
          <w:sz w:val="20"/>
          <w:szCs w:val="20"/>
        </w:rPr>
        <w:t xml:space="preserve">as the </w:t>
      </w:r>
      <w:r w:rsidR="00E5400E" w:rsidRPr="0009520F">
        <w:rPr>
          <w:sz w:val="20"/>
          <w:szCs w:val="20"/>
        </w:rPr>
        <w:t>latest Bureau of Labor and Statistics Employment report showed an increase of +531,000 jobs in October.</w:t>
      </w:r>
      <w:r w:rsidR="0009520F">
        <w:rPr>
          <w:sz w:val="20"/>
          <w:szCs w:val="20"/>
        </w:rPr>
        <w:t xml:space="preserve">  </w:t>
      </w:r>
      <w:r>
        <w:rPr>
          <w:sz w:val="20"/>
          <w:szCs w:val="20"/>
        </w:rPr>
        <w:t xml:space="preserve">Since the start of the pandemic, the labor force has lost about </w:t>
      </w:r>
      <w:r w:rsidR="0009520F">
        <w:rPr>
          <w:sz w:val="20"/>
          <w:szCs w:val="20"/>
        </w:rPr>
        <w:t>4.2</w:t>
      </w:r>
      <w:r>
        <w:rPr>
          <w:sz w:val="20"/>
          <w:szCs w:val="20"/>
        </w:rPr>
        <w:t xml:space="preserve"> million jobs, while the latest Job </w:t>
      </w:r>
      <w:r w:rsidR="00FC1378">
        <w:rPr>
          <w:sz w:val="20"/>
          <w:szCs w:val="20"/>
        </w:rPr>
        <w:t>Openings and Labor Turnover Survey (JOLTS</w:t>
      </w:r>
      <w:r>
        <w:rPr>
          <w:sz w:val="20"/>
          <w:szCs w:val="20"/>
        </w:rPr>
        <w:t xml:space="preserve"> - </w:t>
      </w:r>
      <w:r w:rsidR="0009520F">
        <w:rPr>
          <w:sz w:val="20"/>
          <w:szCs w:val="20"/>
        </w:rPr>
        <w:t>September</w:t>
      </w:r>
      <w:r w:rsidR="00FC1378">
        <w:rPr>
          <w:sz w:val="20"/>
          <w:szCs w:val="20"/>
        </w:rPr>
        <w:t>) reported over 10</w:t>
      </w:r>
      <w:r>
        <w:rPr>
          <w:sz w:val="20"/>
          <w:szCs w:val="20"/>
        </w:rPr>
        <w:t>.4</w:t>
      </w:r>
      <w:r w:rsidR="00FC1378">
        <w:rPr>
          <w:sz w:val="20"/>
          <w:szCs w:val="20"/>
        </w:rPr>
        <w:t xml:space="preserve"> million job openings.</w:t>
      </w:r>
      <w:r w:rsidR="0009520F">
        <w:rPr>
          <w:sz w:val="20"/>
          <w:szCs w:val="20"/>
        </w:rPr>
        <w:t xml:space="preserve">  </w:t>
      </w:r>
      <w:r w:rsidR="008D2734" w:rsidRPr="006E50B2">
        <w:rPr>
          <w:sz w:val="20"/>
          <w:szCs w:val="20"/>
        </w:rPr>
        <w:t xml:space="preserve">The </w:t>
      </w:r>
      <w:r w:rsidR="0009520F">
        <w:rPr>
          <w:sz w:val="20"/>
          <w:szCs w:val="20"/>
        </w:rPr>
        <w:t>November</w:t>
      </w:r>
      <w:r w:rsidR="008D2734" w:rsidRPr="006E50B2">
        <w:rPr>
          <w:sz w:val="20"/>
          <w:szCs w:val="20"/>
        </w:rPr>
        <w:t xml:space="preserve"> employment report, which will be released on</w:t>
      </w:r>
      <w:r w:rsidR="00FC1378">
        <w:rPr>
          <w:sz w:val="20"/>
          <w:szCs w:val="20"/>
        </w:rPr>
        <w:t xml:space="preserve"> </w:t>
      </w:r>
      <w:r w:rsidR="007F412B">
        <w:rPr>
          <w:sz w:val="20"/>
          <w:szCs w:val="20"/>
        </w:rPr>
        <w:t>December 3</w:t>
      </w:r>
      <w:r w:rsidR="007F412B" w:rsidRPr="007F412B">
        <w:rPr>
          <w:sz w:val="20"/>
          <w:szCs w:val="20"/>
          <w:vertAlign w:val="superscript"/>
        </w:rPr>
        <w:t>rd</w:t>
      </w:r>
      <w:r w:rsidR="008D2734" w:rsidRPr="006E50B2">
        <w:rPr>
          <w:sz w:val="20"/>
          <w:szCs w:val="20"/>
        </w:rPr>
        <w:t>, is forecasted to add +</w:t>
      </w:r>
      <w:r w:rsidR="0009520F">
        <w:rPr>
          <w:sz w:val="20"/>
          <w:szCs w:val="20"/>
        </w:rPr>
        <w:t>5</w:t>
      </w:r>
      <w:r w:rsidR="00DE1B75">
        <w:rPr>
          <w:sz w:val="20"/>
          <w:szCs w:val="20"/>
        </w:rPr>
        <w:t>5</w:t>
      </w:r>
      <w:r>
        <w:rPr>
          <w:sz w:val="20"/>
          <w:szCs w:val="20"/>
        </w:rPr>
        <w:t>0</w:t>
      </w:r>
      <w:r w:rsidR="008D2734" w:rsidRPr="006E50B2">
        <w:rPr>
          <w:sz w:val="20"/>
          <w:szCs w:val="20"/>
        </w:rPr>
        <w:t xml:space="preserve">,000 jobs with the unemployment rate falling to </w:t>
      </w:r>
      <w:r>
        <w:rPr>
          <w:sz w:val="20"/>
          <w:szCs w:val="20"/>
        </w:rPr>
        <w:t>4.</w:t>
      </w:r>
      <w:r w:rsidR="0009520F">
        <w:rPr>
          <w:sz w:val="20"/>
          <w:szCs w:val="20"/>
        </w:rPr>
        <w:t>5</w:t>
      </w:r>
      <w:r w:rsidR="008D2734" w:rsidRPr="006E50B2">
        <w:rPr>
          <w:sz w:val="20"/>
          <w:szCs w:val="20"/>
        </w:rPr>
        <w:t>%.</w:t>
      </w:r>
      <w:r w:rsidR="00BF3FD9">
        <w:rPr>
          <w:sz w:val="20"/>
          <w:szCs w:val="20"/>
        </w:rPr>
        <w:t xml:space="preserve">  </w:t>
      </w:r>
      <w:r w:rsidR="00EA0322" w:rsidRPr="006E50B2">
        <w:rPr>
          <w:b/>
          <w:bCs/>
          <w:sz w:val="20"/>
          <w:szCs w:val="20"/>
        </w:rPr>
        <w:t>Going Forward:</w:t>
      </w:r>
      <w:r w:rsidR="00FB4E41">
        <w:rPr>
          <w:b/>
          <w:bCs/>
          <w:sz w:val="20"/>
          <w:szCs w:val="20"/>
        </w:rPr>
        <w:t xml:space="preserve"> </w:t>
      </w:r>
      <w:r w:rsidR="00C50059">
        <w:rPr>
          <w:sz w:val="20"/>
          <w:szCs w:val="20"/>
        </w:rPr>
        <w:t>While inflation, s</w:t>
      </w:r>
      <w:r w:rsidR="007F6384" w:rsidRPr="007F6384">
        <w:rPr>
          <w:sz w:val="20"/>
          <w:szCs w:val="20"/>
        </w:rPr>
        <w:t>upply chain issue</w:t>
      </w:r>
      <w:r w:rsidR="00C50059">
        <w:rPr>
          <w:sz w:val="20"/>
          <w:szCs w:val="20"/>
        </w:rPr>
        <w:t>s, covid, and fading stimulus will remain an overhang, the economy is on solid ground supported by a</w:t>
      </w:r>
      <w:r w:rsidR="00BF3FD9">
        <w:rPr>
          <w:sz w:val="20"/>
          <w:szCs w:val="20"/>
        </w:rPr>
        <w:t xml:space="preserve"> recovering labor market and</w:t>
      </w:r>
      <w:r w:rsidR="00C50059">
        <w:rPr>
          <w:sz w:val="20"/>
          <w:szCs w:val="20"/>
        </w:rPr>
        <w:t xml:space="preserve"> strong consumer.  </w:t>
      </w:r>
    </w:p>
    <w:sectPr w:rsidR="0099155A" w:rsidRPr="006E50B2" w:rsidSect="007F4B86">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44D52"/>
    <w:multiLevelType w:val="multilevel"/>
    <w:tmpl w:val="307C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C2CAD"/>
    <w:multiLevelType w:val="hybridMultilevel"/>
    <w:tmpl w:val="5B38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70"/>
    <w:rsid w:val="00005DDA"/>
    <w:rsid w:val="00011F20"/>
    <w:rsid w:val="000449E7"/>
    <w:rsid w:val="0005018C"/>
    <w:rsid w:val="00061B5B"/>
    <w:rsid w:val="000651F5"/>
    <w:rsid w:val="0008719D"/>
    <w:rsid w:val="00093E15"/>
    <w:rsid w:val="0009520F"/>
    <w:rsid w:val="000B3D8E"/>
    <w:rsid w:val="000B6D71"/>
    <w:rsid w:val="000C26C5"/>
    <w:rsid w:val="000C7972"/>
    <w:rsid w:val="000D7996"/>
    <w:rsid w:val="000E539D"/>
    <w:rsid w:val="000F40A1"/>
    <w:rsid w:val="000F5A69"/>
    <w:rsid w:val="0011028B"/>
    <w:rsid w:val="0011471C"/>
    <w:rsid w:val="00115F18"/>
    <w:rsid w:val="00121B6B"/>
    <w:rsid w:val="0012719D"/>
    <w:rsid w:val="00132239"/>
    <w:rsid w:val="001344C5"/>
    <w:rsid w:val="00134E45"/>
    <w:rsid w:val="001566D9"/>
    <w:rsid w:val="00156EA2"/>
    <w:rsid w:val="00163CFF"/>
    <w:rsid w:val="0016717B"/>
    <w:rsid w:val="001753E3"/>
    <w:rsid w:val="00176D11"/>
    <w:rsid w:val="00186EB9"/>
    <w:rsid w:val="00193FF8"/>
    <w:rsid w:val="0019621D"/>
    <w:rsid w:val="001B2C59"/>
    <w:rsid w:val="001C1D12"/>
    <w:rsid w:val="001C444E"/>
    <w:rsid w:val="001F69C6"/>
    <w:rsid w:val="00204095"/>
    <w:rsid w:val="0022138E"/>
    <w:rsid w:val="00222F42"/>
    <w:rsid w:val="00232150"/>
    <w:rsid w:val="002352B5"/>
    <w:rsid w:val="00277B3D"/>
    <w:rsid w:val="002848A0"/>
    <w:rsid w:val="00291196"/>
    <w:rsid w:val="00292E5E"/>
    <w:rsid w:val="002973CC"/>
    <w:rsid w:val="0029753B"/>
    <w:rsid w:val="002B04E9"/>
    <w:rsid w:val="002B7D86"/>
    <w:rsid w:val="002C73B9"/>
    <w:rsid w:val="002E0043"/>
    <w:rsid w:val="002E6A64"/>
    <w:rsid w:val="00302A63"/>
    <w:rsid w:val="00304D80"/>
    <w:rsid w:val="003060C1"/>
    <w:rsid w:val="003302E8"/>
    <w:rsid w:val="003414A7"/>
    <w:rsid w:val="00357580"/>
    <w:rsid w:val="00364FE4"/>
    <w:rsid w:val="00372523"/>
    <w:rsid w:val="003772DC"/>
    <w:rsid w:val="00377917"/>
    <w:rsid w:val="00384AB1"/>
    <w:rsid w:val="00393436"/>
    <w:rsid w:val="003E3063"/>
    <w:rsid w:val="003E64E2"/>
    <w:rsid w:val="003F6316"/>
    <w:rsid w:val="004079C5"/>
    <w:rsid w:val="0041126E"/>
    <w:rsid w:val="004117F1"/>
    <w:rsid w:val="00412E43"/>
    <w:rsid w:val="0041416F"/>
    <w:rsid w:val="00420C19"/>
    <w:rsid w:val="0042139A"/>
    <w:rsid w:val="00422048"/>
    <w:rsid w:val="00442616"/>
    <w:rsid w:val="00444DC1"/>
    <w:rsid w:val="00450078"/>
    <w:rsid w:val="004564CA"/>
    <w:rsid w:val="00471D5A"/>
    <w:rsid w:val="0048721D"/>
    <w:rsid w:val="004A511B"/>
    <w:rsid w:val="004B0B37"/>
    <w:rsid w:val="004C1923"/>
    <w:rsid w:val="004C44E0"/>
    <w:rsid w:val="004D113B"/>
    <w:rsid w:val="004D5CA8"/>
    <w:rsid w:val="004D6839"/>
    <w:rsid w:val="004E0690"/>
    <w:rsid w:val="004E5627"/>
    <w:rsid w:val="004E69C7"/>
    <w:rsid w:val="004F36D4"/>
    <w:rsid w:val="00503B92"/>
    <w:rsid w:val="00505C36"/>
    <w:rsid w:val="005110C2"/>
    <w:rsid w:val="00527A6A"/>
    <w:rsid w:val="00530A8B"/>
    <w:rsid w:val="00531F19"/>
    <w:rsid w:val="00544015"/>
    <w:rsid w:val="0055207F"/>
    <w:rsid w:val="0055738B"/>
    <w:rsid w:val="00560342"/>
    <w:rsid w:val="00575421"/>
    <w:rsid w:val="00581B0A"/>
    <w:rsid w:val="005A06F1"/>
    <w:rsid w:val="005A282B"/>
    <w:rsid w:val="005E6682"/>
    <w:rsid w:val="005E66AB"/>
    <w:rsid w:val="00603D61"/>
    <w:rsid w:val="0064016D"/>
    <w:rsid w:val="00641822"/>
    <w:rsid w:val="00645154"/>
    <w:rsid w:val="00657E1C"/>
    <w:rsid w:val="0066112F"/>
    <w:rsid w:val="00667CC3"/>
    <w:rsid w:val="00677E6D"/>
    <w:rsid w:val="00677FC7"/>
    <w:rsid w:val="00682452"/>
    <w:rsid w:val="00692728"/>
    <w:rsid w:val="006A0B28"/>
    <w:rsid w:val="006A1601"/>
    <w:rsid w:val="006B5E68"/>
    <w:rsid w:val="006C26D0"/>
    <w:rsid w:val="006D3970"/>
    <w:rsid w:val="006E15DC"/>
    <w:rsid w:val="006E50B2"/>
    <w:rsid w:val="00706697"/>
    <w:rsid w:val="00720BDD"/>
    <w:rsid w:val="007242C3"/>
    <w:rsid w:val="00730C46"/>
    <w:rsid w:val="007340A6"/>
    <w:rsid w:val="007B19C0"/>
    <w:rsid w:val="007B22C7"/>
    <w:rsid w:val="007B5047"/>
    <w:rsid w:val="007D2555"/>
    <w:rsid w:val="007D361B"/>
    <w:rsid w:val="007D6A8E"/>
    <w:rsid w:val="007E274A"/>
    <w:rsid w:val="007E433C"/>
    <w:rsid w:val="007F412B"/>
    <w:rsid w:val="007F4B86"/>
    <w:rsid w:val="007F5447"/>
    <w:rsid w:val="007F5F23"/>
    <w:rsid w:val="007F6384"/>
    <w:rsid w:val="007F6FD3"/>
    <w:rsid w:val="00801B0C"/>
    <w:rsid w:val="008213B2"/>
    <w:rsid w:val="00851B71"/>
    <w:rsid w:val="00852442"/>
    <w:rsid w:val="0085452F"/>
    <w:rsid w:val="008564B9"/>
    <w:rsid w:val="008713F3"/>
    <w:rsid w:val="00875A32"/>
    <w:rsid w:val="008849BA"/>
    <w:rsid w:val="008A4AA1"/>
    <w:rsid w:val="008A6AA3"/>
    <w:rsid w:val="008A73E3"/>
    <w:rsid w:val="008B5859"/>
    <w:rsid w:val="008C4D73"/>
    <w:rsid w:val="008D06F9"/>
    <w:rsid w:val="008D2734"/>
    <w:rsid w:val="008D639D"/>
    <w:rsid w:val="008D7B05"/>
    <w:rsid w:val="008E2006"/>
    <w:rsid w:val="008F094E"/>
    <w:rsid w:val="008F0CFC"/>
    <w:rsid w:val="008F6A67"/>
    <w:rsid w:val="008F6B17"/>
    <w:rsid w:val="00910855"/>
    <w:rsid w:val="00911FBA"/>
    <w:rsid w:val="0092243F"/>
    <w:rsid w:val="00953C97"/>
    <w:rsid w:val="00970021"/>
    <w:rsid w:val="009837C1"/>
    <w:rsid w:val="00984652"/>
    <w:rsid w:val="0099155A"/>
    <w:rsid w:val="009B1574"/>
    <w:rsid w:val="009C303E"/>
    <w:rsid w:val="009C609A"/>
    <w:rsid w:val="009F64C3"/>
    <w:rsid w:val="00A0194B"/>
    <w:rsid w:val="00A10EB8"/>
    <w:rsid w:val="00A11E68"/>
    <w:rsid w:val="00A1241C"/>
    <w:rsid w:val="00A14F72"/>
    <w:rsid w:val="00A31C53"/>
    <w:rsid w:val="00A414EF"/>
    <w:rsid w:val="00A424EF"/>
    <w:rsid w:val="00A47848"/>
    <w:rsid w:val="00A51180"/>
    <w:rsid w:val="00A51572"/>
    <w:rsid w:val="00A52790"/>
    <w:rsid w:val="00A57492"/>
    <w:rsid w:val="00A61214"/>
    <w:rsid w:val="00A65ECC"/>
    <w:rsid w:val="00A72D0C"/>
    <w:rsid w:val="00A91E71"/>
    <w:rsid w:val="00AA159B"/>
    <w:rsid w:val="00AA328C"/>
    <w:rsid w:val="00AE6BAF"/>
    <w:rsid w:val="00B1492F"/>
    <w:rsid w:val="00B15891"/>
    <w:rsid w:val="00B24FC6"/>
    <w:rsid w:val="00B35BB7"/>
    <w:rsid w:val="00B364F7"/>
    <w:rsid w:val="00B6148C"/>
    <w:rsid w:val="00B652E8"/>
    <w:rsid w:val="00B742CA"/>
    <w:rsid w:val="00B84827"/>
    <w:rsid w:val="00B85D15"/>
    <w:rsid w:val="00B9648D"/>
    <w:rsid w:val="00BA329F"/>
    <w:rsid w:val="00BA6FC2"/>
    <w:rsid w:val="00BD3A38"/>
    <w:rsid w:val="00BD54E2"/>
    <w:rsid w:val="00BD7047"/>
    <w:rsid w:val="00BF3FD9"/>
    <w:rsid w:val="00BF41AF"/>
    <w:rsid w:val="00BF51B5"/>
    <w:rsid w:val="00BF5EB3"/>
    <w:rsid w:val="00C0256F"/>
    <w:rsid w:val="00C14570"/>
    <w:rsid w:val="00C326A3"/>
    <w:rsid w:val="00C337F8"/>
    <w:rsid w:val="00C44565"/>
    <w:rsid w:val="00C50059"/>
    <w:rsid w:val="00C612F1"/>
    <w:rsid w:val="00C61961"/>
    <w:rsid w:val="00C751E1"/>
    <w:rsid w:val="00C85360"/>
    <w:rsid w:val="00C869ED"/>
    <w:rsid w:val="00CA2311"/>
    <w:rsid w:val="00CB0C72"/>
    <w:rsid w:val="00CD6981"/>
    <w:rsid w:val="00CF0602"/>
    <w:rsid w:val="00CF5AB3"/>
    <w:rsid w:val="00D00487"/>
    <w:rsid w:val="00D25B18"/>
    <w:rsid w:val="00D2657A"/>
    <w:rsid w:val="00D4201B"/>
    <w:rsid w:val="00D42968"/>
    <w:rsid w:val="00D55304"/>
    <w:rsid w:val="00D7371E"/>
    <w:rsid w:val="00D86D8E"/>
    <w:rsid w:val="00D94E4F"/>
    <w:rsid w:val="00D95B9C"/>
    <w:rsid w:val="00D97FDB"/>
    <w:rsid w:val="00DA4C3D"/>
    <w:rsid w:val="00DA69D7"/>
    <w:rsid w:val="00DD0564"/>
    <w:rsid w:val="00DE1B75"/>
    <w:rsid w:val="00DE5E7C"/>
    <w:rsid w:val="00DF1684"/>
    <w:rsid w:val="00DF21B7"/>
    <w:rsid w:val="00DF49A9"/>
    <w:rsid w:val="00E0486D"/>
    <w:rsid w:val="00E06F32"/>
    <w:rsid w:val="00E11EFC"/>
    <w:rsid w:val="00E21971"/>
    <w:rsid w:val="00E25656"/>
    <w:rsid w:val="00E26E5A"/>
    <w:rsid w:val="00E30370"/>
    <w:rsid w:val="00E34DB3"/>
    <w:rsid w:val="00E41C81"/>
    <w:rsid w:val="00E5400E"/>
    <w:rsid w:val="00E57046"/>
    <w:rsid w:val="00E62348"/>
    <w:rsid w:val="00E74E60"/>
    <w:rsid w:val="00E75753"/>
    <w:rsid w:val="00E802DE"/>
    <w:rsid w:val="00E83F40"/>
    <w:rsid w:val="00E976C4"/>
    <w:rsid w:val="00EA0322"/>
    <w:rsid w:val="00EC7578"/>
    <w:rsid w:val="00EF3A95"/>
    <w:rsid w:val="00EF7C03"/>
    <w:rsid w:val="00F10E0B"/>
    <w:rsid w:val="00F50303"/>
    <w:rsid w:val="00F517AB"/>
    <w:rsid w:val="00F9169B"/>
    <w:rsid w:val="00FA2300"/>
    <w:rsid w:val="00FA3C8E"/>
    <w:rsid w:val="00FB1529"/>
    <w:rsid w:val="00FB2F27"/>
    <w:rsid w:val="00FB4E41"/>
    <w:rsid w:val="00FC12F5"/>
    <w:rsid w:val="00FC1378"/>
    <w:rsid w:val="00FC5773"/>
    <w:rsid w:val="00FC6618"/>
    <w:rsid w:val="00FD0120"/>
    <w:rsid w:val="00FD5903"/>
    <w:rsid w:val="00FE0FA1"/>
    <w:rsid w:val="00FE4E0E"/>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BBCD"/>
  <w15:chartTrackingRefBased/>
  <w15:docId w15:val="{CAEC01F9-F530-4AF3-92A9-355529F0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570"/>
    <w:pPr>
      <w:spacing w:after="0" w:line="240" w:lineRule="auto"/>
    </w:pPr>
  </w:style>
  <w:style w:type="paragraph" w:styleId="ListParagraph">
    <w:name w:val="List Paragraph"/>
    <w:basedOn w:val="Normal"/>
    <w:uiPriority w:val="34"/>
    <w:qFormat/>
    <w:rsid w:val="00450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37658">
      <w:bodyDiv w:val="1"/>
      <w:marLeft w:val="0"/>
      <w:marRight w:val="0"/>
      <w:marTop w:val="0"/>
      <w:marBottom w:val="0"/>
      <w:divBdr>
        <w:top w:val="none" w:sz="0" w:space="0" w:color="auto"/>
        <w:left w:val="none" w:sz="0" w:space="0" w:color="auto"/>
        <w:bottom w:val="none" w:sz="0" w:space="0" w:color="auto"/>
        <w:right w:val="none" w:sz="0" w:space="0" w:color="auto"/>
      </w:divBdr>
    </w:div>
    <w:div w:id="20121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2</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Murphy</dc:creator>
  <cp:keywords/>
  <dc:description/>
  <cp:lastModifiedBy>Andrew Murphy</cp:lastModifiedBy>
  <cp:revision>13</cp:revision>
  <cp:lastPrinted>2021-11-01T15:10:00Z</cp:lastPrinted>
  <dcterms:created xsi:type="dcterms:W3CDTF">2021-11-29T16:44:00Z</dcterms:created>
  <dcterms:modified xsi:type="dcterms:W3CDTF">2021-12-01T14:20:00Z</dcterms:modified>
</cp:coreProperties>
</file>